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0" w:beforeAutospacing="0" w:after="602" w:afterAutospacing="0" w:line="450" w:lineRule="atLeast"/>
        <w:jc w:val="center"/>
        <w:rPr>
          <w:rFonts w:hint="eastAsia" w:cs="宋体"/>
          <w:color w:val="666666"/>
          <w:sz w:val="36"/>
          <w:szCs w:val="36"/>
          <w:lang w:val="en-US" w:eastAsia="zh-CN"/>
        </w:rPr>
      </w:pPr>
      <w:bookmarkStart w:id="0" w:name="_GoBack"/>
      <w:bookmarkEnd w:id="0"/>
      <w:r>
        <w:rPr>
          <w:rFonts w:hint="eastAsia" w:ascii="宋体" w:hAnsi="宋体" w:eastAsia="宋体" w:cs="宋体"/>
          <w:color w:val="666666"/>
          <w:sz w:val="36"/>
          <w:szCs w:val="36"/>
          <w:lang w:eastAsia="zh-CN"/>
        </w:rPr>
        <w:t>赤峰学院</w:t>
      </w:r>
      <w:r>
        <w:rPr>
          <w:rFonts w:hint="eastAsia" w:cs="宋体"/>
          <w:color w:val="666666"/>
          <w:sz w:val="36"/>
          <w:szCs w:val="36"/>
          <w:lang w:val="en-US" w:eastAsia="zh-CN"/>
        </w:rPr>
        <w:t>校园安全管理处</w:t>
      </w:r>
    </w:p>
    <w:p>
      <w:pPr>
        <w:pStyle w:val="2"/>
        <w:widowControl/>
        <w:spacing w:before="0" w:beforeAutospacing="0" w:after="602" w:afterAutospacing="0" w:line="450" w:lineRule="atLeast"/>
        <w:jc w:val="center"/>
        <w:rPr>
          <w:rFonts w:hint="eastAsia" w:ascii="宋体" w:hAnsi="宋体" w:eastAsia="宋体" w:cs="宋体"/>
          <w:color w:val="666666"/>
          <w:sz w:val="36"/>
          <w:szCs w:val="36"/>
          <w:lang w:val="en-US" w:eastAsia="zh-CN"/>
        </w:rPr>
      </w:pPr>
      <w:r>
        <w:rPr>
          <w:rFonts w:hint="eastAsia" w:cs="宋体"/>
          <w:color w:val="666666"/>
          <w:sz w:val="36"/>
          <w:szCs w:val="36"/>
          <w:lang w:val="en-US" w:eastAsia="zh-CN"/>
        </w:rPr>
        <w:t>校园一键报警装置</w:t>
      </w:r>
      <w:r>
        <w:rPr>
          <w:rFonts w:hint="eastAsia" w:ascii="宋体" w:hAnsi="宋体" w:eastAsia="宋体" w:cs="宋体"/>
          <w:color w:val="666666"/>
          <w:sz w:val="36"/>
          <w:szCs w:val="36"/>
          <w:lang w:val="en-US" w:eastAsia="zh-CN"/>
        </w:rPr>
        <w:t>询价文件</w:t>
      </w:r>
    </w:p>
    <w:p>
      <w:pPr>
        <w:rPr>
          <w:rFonts w:hint="eastAsia" w:ascii="宋体" w:hAnsi="宋体" w:eastAsia="宋体" w:cs="宋体"/>
          <w:color w:val="666666"/>
          <w:sz w:val="30"/>
          <w:szCs w:val="30"/>
          <w:lang w:val="en-US" w:eastAsia="zh-CN"/>
        </w:rPr>
      </w:pPr>
      <w:r>
        <w:rPr>
          <w:rFonts w:hint="eastAsia" w:ascii="宋体" w:hAnsi="宋体" w:eastAsia="宋体" w:cs="宋体"/>
          <w:color w:val="666666"/>
          <w:sz w:val="30"/>
          <w:szCs w:val="30"/>
          <w:lang w:val="en-US" w:eastAsia="zh-CN"/>
        </w:rPr>
        <w:t>项目编号（采购编号、合同编号）：</w:t>
      </w:r>
      <w:r>
        <w:rPr>
          <w:rFonts w:hint="eastAsia" w:ascii="宋体" w:hAnsi="宋体" w:cs="宋体"/>
          <w:color w:val="666666"/>
          <w:sz w:val="30"/>
          <w:szCs w:val="30"/>
          <w:lang w:val="en-US" w:eastAsia="zh-CN"/>
        </w:rPr>
        <w:t>XAC2024003</w:t>
      </w:r>
    </w:p>
    <w:p>
      <w:pPr>
        <w:rPr>
          <w:rFonts w:hint="eastAsia" w:ascii="宋体" w:hAnsi="宋体" w:eastAsia="宋体" w:cs="宋体"/>
          <w:color w:val="666666"/>
          <w:sz w:val="30"/>
          <w:szCs w:val="30"/>
          <w:lang w:val="en-US" w:eastAsia="zh-CN"/>
        </w:rPr>
      </w:pPr>
    </w:p>
    <w:p>
      <w:pPr>
        <w:rPr>
          <w:rFonts w:hint="eastAsia" w:ascii="宋体" w:hAnsi="宋体" w:eastAsia="宋体" w:cs="宋体"/>
          <w:color w:val="666666"/>
          <w:sz w:val="30"/>
          <w:szCs w:val="30"/>
          <w:lang w:val="en-US" w:eastAsia="zh-CN"/>
        </w:rPr>
      </w:pPr>
    </w:p>
    <w:p>
      <w:p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审核意见：</w:t>
      </w:r>
    </w:p>
    <w:p>
      <w:pPr>
        <w:numPr>
          <w:ilvl w:val="0"/>
          <w:numId w:val="1"/>
        </w:num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项目单位经办人（签字）：</w:t>
      </w:r>
    </w:p>
    <w:p>
      <w:pPr>
        <w:numPr>
          <w:ilvl w:val="0"/>
          <w:numId w:val="1"/>
        </w:num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项目单位负责人（签字）：               (公章）</w:t>
      </w:r>
    </w:p>
    <w:p>
      <w:pPr>
        <w:numPr>
          <w:ilvl w:val="0"/>
          <w:numId w:val="1"/>
        </w:num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资产处采购科（签字）：</w:t>
      </w:r>
    </w:p>
    <w:p>
      <w:pPr>
        <w:numPr>
          <w:ilvl w:val="0"/>
          <w:numId w:val="1"/>
        </w:num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资产处处长（签字）：                   （公章）</w:t>
      </w:r>
    </w:p>
    <w:p>
      <w:pPr>
        <w:pStyle w:val="2"/>
        <w:widowControl/>
        <w:spacing w:before="0" w:beforeAutospacing="0" w:after="602" w:afterAutospacing="0" w:line="450" w:lineRule="atLeast"/>
        <w:jc w:val="center"/>
        <w:rPr>
          <w:rFonts w:hint="eastAsia" w:ascii="宋体" w:hAnsi="宋体" w:eastAsia="宋体" w:cs="宋体"/>
          <w:color w:val="666666"/>
          <w:kern w:val="0"/>
          <w:sz w:val="28"/>
          <w:szCs w:val="28"/>
          <w:lang w:val="en-US" w:eastAsia="zh-CN" w:bidi="ar"/>
        </w:rPr>
      </w:pPr>
    </w:p>
    <w:p>
      <w:pPr>
        <w:pStyle w:val="2"/>
        <w:widowControl/>
        <w:spacing w:before="0" w:beforeAutospacing="0" w:after="602" w:afterAutospacing="0" w:line="450" w:lineRule="atLeast"/>
        <w:jc w:val="center"/>
        <w:rPr>
          <w:rFonts w:hint="eastAsia" w:ascii="宋体" w:hAnsi="宋体" w:eastAsia="宋体" w:cs="宋体"/>
          <w:color w:val="666666"/>
          <w:kern w:val="0"/>
          <w:sz w:val="28"/>
          <w:szCs w:val="28"/>
          <w:lang w:val="en-US" w:eastAsia="zh-CN" w:bidi="ar"/>
        </w:rPr>
      </w:pPr>
    </w:p>
    <w:p>
      <w:pPr>
        <w:pStyle w:val="2"/>
        <w:widowControl/>
        <w:spacing w:before="0" w:beforeAutospacing="0" w:after="602" w:afterAutospacing="0" w:line="450" w:lineRule="atLeast"/>
        <w:jc w:val="center"/>
        <w:rPr>
          <w:rFonts w:hint="eastAsia" w:ascii="宋体" w:hAnsi="宋体" w:eastAsia="宋体" w:cs="宋体"/>
          <w:color w:val="666666"/>
          <w:kern w:val="0"/>
          <w:sz w:val="28"/>
          <w:szCs w:val="28"/>
          <w:lang w:val="en-US" w:eastAsia="zh-CN" w:bidi="ar"/>
        </w:rPr>
      </w:pPr>
      <w:r>
        <w:rPr>
          <w:rFonts w:hint="eastAsia" w:cs="宋体"/>
          <w:color w:val="666666"/>
          <w:kern w:val="0"/>
          <w:sz w:val="28"/>
          <w:szCs w:val="28"/>
          <w:lang w:val="en-US" w:eastAsia="zh-CN" w:bidi="ar"/>
        </w:rPr>
        <w:t>2024</w:t>
      </w:r>
      <w:r>
        <w:rPr>
          <w:rFonts w:hint="eastAsia" w:ascii="宋体" w:hAnsi="宋体" w:eastAsia="宋体" w:cs="宋体"/>
          <w:color w:val="666666"/>
          <w:kern w:val="0"/>
          <w:sz w:val="28"/>
          <w:szCs w:val="28"/>
          <w:lang w:val="en-US" w:eastAsia="zh-CN" w:bidi="ar"/>
        </w:rPr>
        <w:t>年</w:t>
      </w:r>
      <w:r>
        <w:rPr>
          <w:rFonts w:hint="eastAsia" w:cs="宋体"/>
          <w:color w:val="666666"/>
          <w:kern w:val="0"/>
          <w:sz w:val="28"/>
          <w:szCs w:val="28"/>
          <w:lang w:val="en-US" w:eastAsia="zh-CN" w:bidi="ar"/>
        </w:rPr>
        <w:t>9</w:t>
      </w:r>
      <w:r>
        <w:rPr>
          <w:rFonts w:hint="eastAsia" w:ascii="宋体" w:hAnsi="宋体" w:eastAsia="宋体" w:cs="宋体"/>
          <w:color w:val="666666"/>
          <w:kern w:val="0"/>
          <w:sz w:val="28"/>
          <w:szCs w:val="28"/>
          <w:lang w:val="en-US" w:eastAsia="zh-CN" w:bidi="ar"/>
        </w:rPr>
        <w:t xml:space="preserve">月   </w:t>
      </w:r>
    </w:p>
    <w:p>
      <w:pPr>
        <w:pStyle w:val="2"/>
        <w:widowControl/>
        <w:spacing w:before="0" w:beforeAutospacing="0" w:after="602" w:afterAutospacing="0" w:line="450" w:lineRule="atLeast"/>
        <w:jc w:val="center"/>
        <w:rPr>
          <w:rFonts w:hint="eastAsia" w:ascii="宋体" w:hAnsi="宋体" w:eastAsia="宋体" w:cs="宋体"/>
          <w:color w:val="666666"/>
          <w:kern w:val="0"/>
          <w:sz w:val="28"/>
          <w:szCs w:val="28"/>
          <w:lang w:val="en-US" w:eastAsia="zh-CN" w:bidi="ar"/>
        </w:rPr>
      </w:pPr>
    </w:p>
    <w:p>
      <w:pPr>
        <w:pStyle w:val="2"/>
        <w:widowControl/>
        <w:spacing w:before="0" w:beforeAutospacing="0" w:after="602" w:afterAutospacing="0" w:line="450" w:lineRule="atLeast"/>
        <w:jc w:val="center"/>
        <w:rPr>
          <w:rFonts w:hint="eastAsia" w:ascii="宋体" w:hAnsi="宋体" w:eastAsia="宋体" w:cs="宋体"/>
          <w:color w:val="666666"/>
          <w:kern w:val="0"/>
          <w:sz w:val="28"/>
          <w:szCs w:val="28"/>
          <w:lang w:val="en-US" w:eastAsia="zh-CN" w:bidi="ar"/>
        </w:rPr>
      </w:pPr>
    </w:p>
    <w:p>
      <w:pPr>
        <w:pStyle w:val="2"/>
        <w:widowControl/>
        <w:spacing w:before="0" w:beforeAutospacing="0" w:after="602" w:afterAutospacing="0" w:line="450" w:lineRule="atLeast"/>
        <w:jc w:val="center"/>
        <w:rPr>
          <w:rFonts w:hint="eastAsia" w:ascii="宋体" w:hAnsi="宋体" w:eastAsia="宋体" w:cs="宋体"/>
          <w:color w:val="666666"/>
          <w:kern w:val="0"/>
          <w:sz w:val="28"/>
          <w:szCs w:val="28"/>
          <w:lang w:val="en-US" w:eastAsia="zh-CN" w:bidi="ar"/>
        </w:rPr>
      </w:pPr>
      <w:r>
        <w:rPr>
          <w:rFonts w:hint="eastAsia" w:cs="宋体"/>
          <w:color w:val="666666"/>
          <w:kern w:val="0"/>
          <w:sz w:val="28"/>
          <w:szCs w:val="28"/>
          <w:lang w:val="en-US" w:eastAsia="zh-CN" w:bidi="ar"/>
        </w:rPr>
        <w:t xml:space="preserve"> </w:t>
      </w:r>
      <w:r>
        <w:rPr>
          <w:rFonts w:hint="eastAsia" w:ascii="宋体" w:hAnsi="宋体" w:eastAsia="宋体" w:cs="宋体"/>
          <w:color w:val="666666"/>
          <w:kern w:val="0"/>
          <w:sz w:val="28"/>
          <w:szCs w:val="28"/>
          <w:lang w:val="en-US" w:eastAsia="zh-CN" w:bidi="ar"/>
        </w:rPr>
        <w:t>赤峰学院</w:t>
      </w:r>
      <w:r>
        <w:rPr>
          <w:rFonts w:hint="eastAsia" w:cs="宋体"/>
          <w:color w:val="666666"/>
          <w:kern w:val="0"/>
          <w:sz w:val="28"/>
          <w:szCs w:val="28"/>
          <w:lang w:val="en-US" w:eastAsia="zh-CN" w:bidi="ar"/>
        </w:rPr>
        <w:t>校园安全管理处校园一键报警装置</w:t>
      </w:r>
      <w:r>
        <w:rPr>
          <w:rFonts w:hint="eastAsia" w:ascii="宋体" w:hAnsi="宋体" w:eastAsia="宋体" w:cs="宋体"/>
          <w:color w:val="666666"/>
          <w:kern w:val="0"/>
          <w:sz w:val="28"/>
          <w:szCs w:val="28"/>
          <w:lang w:val="en-US" w:eastAsia="zh-CN" w:bidi="ar"/>
        </w:rPr>
        <w:t>询价采购公告</w:t>
      </w:r>
    </w:p>
    <w:p>
      <w:pPr>
        <w:pStyle w:val="3"/>
        <w:widowControl/>
        <w:shd w:val="clear" w:color="auto" w:fill="FFFFFF"/>
        <w:spacing w:before="0" w:beforeAutospacing="0" w:after="0" w:afterAutospacing="0" w:line="525"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赤峰学院</w:t>
      </w:r>
      <w:r>
        <w:rPr>
          <w:rFonts w:hint="eastAsia" w:ascii="宋体" w:hAnsi="宋体" w:cs="宋体"/>
          <w:color w:val="666666"/>
          <w:kern w:val="0"/>
          <w:sz w:val="28"/>
          <w:szCs w:val="28"/>
          <w:lang w:val="en-US" w:eastAsia="zh-CN" w:bidi="ar"/>
        </w:rPr>
        <w:t>校园安全管理处</w:t>
      </w:r>
      <w:r>
        <w:rPr>
          <w:rFonts w:hint="eastAsia" w:ascii="宋体" w:hAnsi="宋体" w:eastAsia="宋体" w:cs="宋体"/>
          <w:color w:val="666666"/>
          <w:kern w:val="0"/>
          <w:sz w:val="28"/>
          <w:szCs w:val="28"/>
          <w:lang w:val="en-US" w:eastAsia="zh-CN" w:bidi="ar"/>
        </w:rPr>
        <w:t>采用询价方式采购</w:t>
      </w:r>
      <w:r>
        <w:rPr>
          <w:rFonts w:hint="eastAsia" w:ascii="宋体" w:hAnsi="宋体" w:cs="宋体"/>
          <w:color w:val="666666"/>
          <w:kern w:val="0"/>
          <w:sz w:val="28"/>
          <w:szCs w:val="28"/>
          <w:lang w:val="en-US" w:eastAsia="zh-CN" w:bidi="ar"/>
        </w:rPr>
        <w:t>校园一键报警装置</w:t>
      </w:r>
      <w:r>
        <w:rPr>
          <w:rFonts w:hint="eastAsia" w:ascii="宋体" w:hAnsi="宋体" w:eastAsia="宋体" w:cs="宋体"/>
          <w:color w:val="666666"/>
          <w:kern w:val="0"/>
          <w:sz w:val="28"/>
          <w:szCs w:val="28"/>
          <w:lang w:val="en-US" w:eastAsia="zh-CN" w:bidi="ar"/>
        </w:rPr>
        <w:t>,欢迎符合资格条件的供应商前来报名参加。</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一、项目基本情况</w:t>
      </w:r>
    </w:p>
    <w:p>
      <w:pPr>
        <w:pStyle w:val="3"/>
        <w:widowControl/>
        <w:spacing w:before="0" w:beforeAutospacing="0" w:after="0" w:afterAutospacing="0" w:line="540" w:lineRule="atLeast"/>
        <w:ind w:firstLine="555"/>
        <w:rPr>
          <w:rFonts w:hint="default"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项目名称：赤峰学院</w:t>
      </w:r>
      <w:r>
        <w:rPr>
          <w:rFonts w:hint="eastAsia" w:ascii="宋体" w:hAnsi="宋体" w:cs="宋体"/>
          <w:color w:val="666666"/>
          <w:kern w:val="0"/>
          <w:sz w:val="28"/>
          <w:szCs w:val="28"/>
          <w:lang w:val="en-US" w:eastAsia="zh-CN" w:bidi="ar"/>
        </w:rPr>
        <w:t>校园安全管理处校园一键报警装置</w:t>
      </w:r>
    </w:p>
    <w:p>
      <w:pPr>
        <w:ind w:firstLine="600" w:firstLineChars="200"/>
        <w:rPr>
          <w:rFonts w:hint="default" w:ascii="宋体" w:hAnsi="宋体" w:eastAsia="宋体" w:cs="宋体"/>
          <w:color w:val="666666"/>
          <w:kern w:val="0"/>
          <w:sz w:val="28"/>
          <w:szCs w:val="28"/>
          <w:lang w:val="en-US" w:eastAsia="zh-CN" w:bidi="ar"/>
        </w:rPr>
      </w:pPr>
      <w:r>
        <w:rPr>
          <w:rFonts w:hint="eastAsia" w:ascii="宋体" w:hAnsi="宋体" w:eastAsia="宋体" w:cs="宋体"/>
          <w:color w:val="666666"/>
          <w:sz w:val="30"/>
          <w:szCs w:val="30"/>
          <w:lang w:val="en-US" w:eastAsia="zh-CN"/>
        </w:rPr>
        <w:t>项目编号：</w:t>
      </w:r>
      <w:r>
        <w:rPr>
          <w:rFonts w:hint="eastAsia" w:ascii="宋体" w:hAnsi="宋体" w:cs="宋体"/>
          <w:color w:val="666666"/>
          <w:sz w:val="30"/>
          <w:szCs w:val="30"/>
          <w:lang w:val="en-US" w:eastAsia="zh-CN"/>
        </w:rPr>
        <w:t>XAC2024003</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预算金额：</w:t>
      </w:r>
      <w:r>
        <w:rPr>
          <w:rFonts w:hint="eastAsia" w:ascii="宋体" w:hAnsi="宋体" w:cs="宋体"/>
          <w:color w:val="666666"/>
          <w:kern w:val="0"/>
          <w:sz w:val="28"/>
          <w:szCs w:val="28"/>
          <w:lang w:val="en-US" w:eastAsia="zh-CN" w:bidi="ar"/>
        </w:rPr>
        <w:t>70000.00</w:t>
      </w:r>
      <w:r>
        <w:rPr>
          <w:rFonts w:hint="eastAsia" w:ascii="宋体" w:hAnsi="宋体" w:eastAsia="宋体" w:cs="宋体"/>
          <w:color w:val="666666"/>
          <w:kern w:val="0"/>
          <w:sz w:val="28"/>
          <w:szCs w:val="28"/>
          <w:lang w:val="en-US" w:eastAsia="zh-CN" w:bidi="ar"/>
        </w:rPr>
        <w:t>元（</w:t>
      </w:r>
      <w:r>
        <w:rPr>
          <w:rFonts w:hint="eastAsia" w:ascii="宋体" w:hAnsi="宋体" w:cs="宋体"/>
          <w:color w:val="666666"/>
          <w:kern w:val="0"/>
          <w:sz w:val="28"/>
          <w:szCs w:val="28"/>
          <w:lang w:val="en-US" w:eastAsia="zh-CN" w:bidi="ar"/>
        </w:rPr>
        <w:t>柒万元</w:t>
      </w:r>
      <w:r>
        <w:rPr>
          <w:rFonts w:hint="eastAsia" w:ascii="宋体" w:hAnsi="宋体" w:eastAsia="宋体" w:cs="宋体"/>
          <w:color w:val="666666"/>
          <w:kern w:val="0"/>
          <w:sz w:val="28"/>
          <w:szCs w:val="28"/>
          <w:lang w:val="en-US" w:eastAsia="zh-CN" w:bidi="ar"/>
        </w:rPr>
        <w:t>人民币）</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采购需求：具体技术参数要求详见下列清单。</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838"/>
        <w:gridCol w:w="5030"/>
        <w:gridCol w:w="719"/>
        <w:gridCol w:w="768"/>
        <w:gridCol w:w="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序号</w:t>
            </w:r>
          </w:p>
        </w:tc>
        <w:tc>
          <w:tcPr>
            <w:tcW w:w="49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名称</w:t>
            </w:r>
          </w:p>
        </w:tc>
        <w:tc>
          <w:tcPr>
            <w:tcW w:w="2951" w:type="pct"/>
            <w:noWrap w:val="0"/>
            <w:vAlign w:val="top"/>
          </w:tcPr>
          <w:p>
            <w:pPr>
              <w:pStyle w:val="3"/>
              <w:widowControl/>
              <w:spacing w:before="0" w:beforeAutospacing="0" w:after="0" w:afterAutospacing="0" w:line="540" w:lineRule="atLeast"/>
              <w:ind w:firstLine="280" w:firstLineChars="1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技术要求</w:t>
            </w:r>
          </w:p>
        </w:tc>
        <w:tc>
          <w:tcPr>
            <w:tcW w:w="42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单位</w:t>
            </w:r>
          </w:p>
        </w:tc>
        <w:tc>
          <w:tcPr>
            <w:tcW w:w="450"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数量</w:t>
            </w:r>
          </w:p>
        </w:tc>
        <w:tc>
          <w:tcPr>
            <w:tcW w:w="40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w:t>
            </w:r>
          </w:p>
        </w:tc>
        <w:tc>
          <w:tcPr>
            <w:tcW w:w="49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4"/>
                <w:szCs w:val="24"/>
                <w:lang w:val="en-US" w:eastAsia="zh-CN" w:bidi="ar"/>
              </w:rPr>
            </w:pPr>
            <w:r>
              <w:rPr>
                <w:rFonts w:hint="eastAsia" w:ascii="宋体" w:hAnsi="宋体" w:cs="宋体"/>
                <w:color w:val="666666"/>
                <w:kern w:val="0"/>
                <w:sz w:val="24"/>
                <w:szCs w:val="24"/>
                <w:lang w:val="en-US" w:eastAsia="zh-CN" w:bidi="ar"/>
              </w:rPr>
              <w:t>一键求助报警设备</w:t>
            </w:r>
          </w:p>
        </w:tc>
        <w:tc>
          <w:tcPr>
            <w:tcW w:w="2951" w:type="pct"/>
            <w:noWrap w:val="0"/>
            <w:vAlign w:val="top"/>
          </w:tcPr>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采用嵌入式Linux操作系统, 高性能嵌入式SOC处理器，系统运行稳定可靠；</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支持网络自适应、音视频自适应功能，在网络丢包情况下，实现音视频低延迟；</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支持语音对讲功能，内置高灵敏度麦克风，可实现5米对讲；</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支持视频采集功能，内置200W高清彩色摄像头，实现全天候24小时实时监控；</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支持音频扩展，3.5mm标准音频接口可外接有源音箱和麦克风；</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支持防水、抗电磁干扰、防拆、防暴、防雷击，防撬锁等功能；</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支持红外补光，支持语音对讲、广播；</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18"/>
                <w:szCs w:val="18"/>
                <w:lang w:val="en-US" w:eastAsia="zh-CN" w:bidi="ar"/>
              </w:rPr>
              <w:t>支持双网口；IP等级：IP65</w:t>
            </w:r>
          </w:p>
        </w:tc>
        <w:tc>
          <w:tcPr>
            <w:tcW w:w="42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台</w:t>
            </w:r>
          </w:p>
        </w:tc>
        <w:tc>
          <w:tcPr>
            <w:tcW w:w="450"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3</w:t>
            </w:r>
          </w:p>
        </w:tc>
        <w:tc>
          <w:tcPr>
            <w:tcW w:w="40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w:t>
            </w:r>
          </w:p>
        </w:tc>
        <w:tc>
          <w:tcPr>
            <w:tcW w:w="49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4"/>
                <w:szCs w:val="24"/>
                <w:lang w:val="en-US" w:eastAsia="zh-CN" w:bidi="ar"/>
              </w:rPr>
            </w:pPr>
            <w:r>
              <w:rPr>
                <w:rFonts w:hint="eastAsia" w:ascii="宋体" w:hAnsi="宋体" w:cs="宋体"/>
                <w:color w:val="666666"/>
                <w:kern w:val="0"/>
                <w:sz w:val="24"/>
                <w:szCs w:val="24"/>
                <w:lang w:val="en-US" w:eastAsia="zh-CN" w:bidi="ar"/>
              </w:rPr>
              <w:t>报警设备环境球机</w:t>
            </w:r>
          </w:p>
        </w:tc>
        <w:tc>
          <w:tcPr>
            <w:tcW w:w="2951" w:type="pct"/>
            <w:noWrap w:val="0"/>
            <w:vAlign w:val="top"/>
          </w:tcPr>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支持1/2.8" 400万23倍光学变焦镜头，采用高效补光阵列，低功耗，红外补光150 m，白光补光30m</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支持区域入侵侦测、越界侦测、进入区域侦测和离开区域侦等智能侦测并联动跟随</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适用于交通道路，广场、公园、出入口、园区周界等场景</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支持深度学习算法，提供精准的人车分类侦测、报警、联动球机镜头进行快速查看</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支持切换为人脸抓拍模式，最大同时抓拍5张人脸</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 xml:space="preserve"> 内置加热玻璃，有效除雾</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支持最大2560×1440@30fps高清画面输出</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支持超低照度，0.005 Lux @F1.5（彩色），0.001 Lux @F1.5（黑白），0 Lux with IR</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支持23倍光学变倍，16倍数字变倍</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支持海康SDK，视图库，OTAP，ONVIF，ISAPI，GB/T28181，ISUP，萤石</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支持两进一出报警、一进一出音频、最大支持512G microSD卡存储</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IP66，符合GB/T17626.2/3/4/5/6四级标准</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p>
        </w:tc>
        <w:tc>
          <w:tcPr>
            <w:tcW w:w="42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台</w:t>
            </w:r>
          </w:p>
        </w:tc>
        <w:tc>
          <w:tcPr>
            <w:tcW w:w="450"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3</w:t>
            </w:r>
          </w:p>
        </w:tc>
        <w:tc>
          <w:tcPr>
            <w:tcW w:w="40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w:t>
            </w:r>
          </w:p>
        </w:tc>
        <w:tc>
          <w:tcPr>
            <w:tcW w:w="49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4"/>
                <w:szCs w:val="24"/>
                <w:lang w:val="en-US" w:eastAsia="zh-CN" w:bidi="ar"/>
              </w:rPr>
            </w:pPr>
            <w:r>
              <w:rPr>
                <w:rFonts w:hint="eastAsia" w:ascii="宋体" w:hAnsi="宋体" w:cs="宋体"/>
                <w:color w:val="666666"/>
                <w:kern w:val="0"/>
                <w:sz w:val="24"/>
                <w:szCs w:val="24"/>
                <w:lang w:val="en-US" w:eastAsia="zh-CN" w:bidi="ar"/>
              </w:rPr>
              <w:t>4口-工业交换机</w:t>
            </w:r>
          </w:p>
        </w:tc>
        <w:tc>
          <w:tcPr>
            <w:tcW w:w="2951" w:type="pct"/>
            <w:noWrap w:val="0"/>
            <w:vAlign w:val="top"/>
          </w:tcPr>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8个10/100/1000Base-T以太网口，支持PoE+供电，单端口最大功率达30W</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2个独立千兆SFP光口</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特有的CPU保护策略，设备安全防攻击</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支持RLDP，快速检测网络故障，为网络安全保驾护航</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支持全网管，设备管理轻松易操作</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无风扇，自然散热，静音且节能。</w:t>
            </w:r>
          </w:p>
        </w:tc>
        <w:tc>
          <w:tcPr>
            <w:tcW w:w="42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台</w:t>
            </w:r>
          </w:p>
        </w:tc>
        <w:tc>
          <w:tcPr>
            <w:tcW w:w="450"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3</w:t>
            </w:r>
          </w:p>
        </w:tc>
        <w:tc>
          <w:tcPr>
            <w:tcW w:w="40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4</w:t>
            </w:r>
          </w:p>
        </w:tc>
        <w:tc>
          <w:tcPr>
            <w:tcW w:w="49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4"/>
                <w:szCs w:val="24"/>
                <w:lang w:val="en-US" w:eastAsia="zh-CN" w:bidi="ar"/>
              </w:rPr>
            </w:pPr>
            <w:r>
              <w:rPr>
                <w:rFonts w:hint="eastAsia" w:ascii="宋体" w:hAnsi="宋体" w:cs="宋体"/>
                <w:color w:val="666666"/>
                <w:kern w:val="0"/>
                <w:sz w:val="24"/>
                <w:szCs w:val="24"/>
                <w:lang w:val="en-US" w:eastAsia="zh-CN" w:bidi="ar"/>
              </w:rPr>
              <w:t>光模块</w:t>
            </w:r>
          </w:p>
        </w:tc>
        <w:tc>
          <w:tcPr>
            <w:tcW w:w="2951" w:type="pct"/>
            <w:noWrap w:val="0"/>
            <w:vAlign w:val="top"/>
          </w:tcPr>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千兆多模双纤300米商业级(850nm)</w:t>
            </w:r>
          </w:p>
        </w:tc>
        <w:tc>
          <w:tcPr>
            <w:tcW w:w="42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对</w:t>
            </w:r>
          </w:p>
        </w:tc>
        <w:tc>
          <w:tcPr>
            <w:tcW w:w="450"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3</w:t>
            </w:r>
          </w:p>
        </w:tc>
        <w:tc>
          <w:tcPr>
            <w:tcW w:w="40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5</w:t>
            </w:r>
          </w:p>
        </w:tc>
        <w:tc>
          <w:tcPr>
            <w:tcW w:w="49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4"/>
                <w:szCs w:val="24"/>
                <w:lang w:val="en-US" w:eastAsia="zh-CN" w:bidi="ar"/>
              </w:rPr>
            </w:pPr>
            <w:r>
              <w:rPr>
                <w:rFonts w:hint="eastAsia" w:ascii="宋体" w:hAnsi="宋体" w:cs="宋体"/>
                <w:color w:val="666666"/>
                <w:kern w:val="0"/>
                <w:sz w:val="24"/>
                <w:szCs w:val="24"/>
                <w:lang w:val="en-US" w:eastAsia="zh-CN" w:bidi="ar"/>
              </w:rPr>
              <w:t>光纤熔纤盒</w:t>
            </w:r>
          </w:p>
        </w:tc>
        <w:tc>
          <w:tcPr>
            <w:tcW w:w="2951" w:type="pct"/>
            <w:noWrap w:val="0"/>
            <w:vAlign w:val="top"/>
          </w:tcPr>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适用芯数：光纤熔接盒适用于单芯或多芯光纤的熔接。适用光纤类型：光纤熔接盒可以支持不同类型的光纤，如SM(ITU-T G.652 &amp; G.657)、MM(ITU-T G.651)、DS(ITU-T G.653)、NZDS(ITU-T G.655)等。</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适用光纤直径：光纤熔接盒可以处理不同直径的光纤，一般范围在0.25~3.0mm。</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光纤放置与切割长度：光纤熔接盒可以容纳特定长度的光纤，涂覆层的放置长度一般在0.125~1mm，切割长度一般在8~16mm。</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熔接模式：光纤熔接盒可以预设多种熔接模式，如预设45种熔接模式，最大可达128种熔接模式。</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典型熔接损耗：光纤熔接盒的熔接损耗是一个重要的性能指标，如SM类型的光纤熔接损耗为0.02dB，MM类型的光纤熔接损耗为0.01dB等。</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回波损耗：光纤熔接盒的回波损耗也是一个重要的性能指标，一般要求大于60dB。</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熔接时间：光纤熔接盒的熔接时间也是一个重要的性能指标，如标准熔接时间为8秒，Quick模式下为7秒。</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熔接长度估计：光纤熔接盒可以估计熔接长度，一般在20~60mm之间。</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加热器/加热时间：光纤熔接盒的加热器可以预设加热模式，典型加热时间为13秒。</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熔接结果储存：光纤熔接盒可以储存最新的熔接结果，一般可以储存2000个记录。</w:t>
            </w:r>
          </w:p>
        </w:tc>
        <w:tc>
          <w:tcPr>
            <w:tcW w:w="42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个</w:t>
            </w:r>
          </w:p>
        </w:tc>
        <w:tc>
          <w:tcPr>
            <w:tcW w:w="450"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3</w:t>
            </w:r>
          </w:p>
        </w:tc>
        <w:tc>
          <w:tcPr>
            <w:tcW w:w="40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6</w:t>
            </w:r>
          </w:p>
        </w:tc>
        <w:tc>
          <w:tcPr>
            <w:tcW w:w="49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4"/>
                <w:szCs w:val="24"/>
                <w:lang w:val="en-US" w:eastAsia="zh-CN" w:bidi="ar"/>
              </w:rPr>
            </w:pPr>
            <w:r>
              <w:rPr>
                <w:rFonts w:hint="eastAsia" w:ascii="宋体" w:hAnsi="宋体" w:cs="宋体"/>
                <w:color w:val="666666"/>
                <w:kern w:val="0"/>
                <w:sz w:val="24"/>
                <w:szCs w:val="24"/>
                <w:lang w:val="en-US" w:eastAsia="zh-CN" w:bidi="ar"/>
              </w:rPr>
              <w:t>光纤跳线</w:t>
            </w:r>
          </w:p>
        </w:tc>
        <w:tc>
          <w:tcPr>
            <w:tcW w:w="2951" w:type="pct"/>
            <w:noWrap w:val="0"/>
            <w:vAlign w:val="top"/>
          </w:tcPr>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跳线：1. 接口类型：LC （Lucent Connector）是一种小型的光纤连接器，常用于光纤跳线和光纤模块之间的连接。2.纠缠度：表示光缆的纠缠程度，一般有低纠缠标度，准纠缠度和高纠缠度可选。</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3. 光纤类型：多模光纤一般使用OM3或</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OM4级别的光纤，其光纤芯数一般为</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50/125um=62.5/125um.</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4. 长度：多模万兆跳线的长度一般有不同的选项可供选择，如1米、2米、3米等，根实际需求进行选择。</w:t>
            </w:r>
          </w:p>
        </w:tc>
        <w:tc>
          <w:tcPr>
            <w:tcW w:w="42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条</w:t>
            </w:r>
          </w:p>
        </w:tc>
        <w:tc>
          <w:tcPr>
            <w:tcW w:w="450"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3</w:t>
            </w:r>
          </w:p>
        </w:tc>
        <w:tc>
          <w:tcPr>
            <w:tcW w:w="40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7</w:t>
            </w:r>
          </w:p>
        </w:tc>
        <w:tc>
          <w:tcPr>
            <w:tcW w:w="49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4"/>
                <w:szCs w:val="24"/>
                <w:lang w:val="en-US" w:eastAsia="zh-CN" w:bidi="ar"/>
              </w:rPr>
            </w:pPr>
            <w:r>
              <w:rPr>
                <w:rFonts w:hint="eastAsia" w:ascii="宋体" w:hAnsi="宋体" w:cs="宋体"/>
                <w:color w:val="666666"/>
                <w:kern w:val="0"/>
                <w:sz w:val="24"/>
                <w:szCs w:val="24"/>
                <w:lang w:val="en-US" w:eastAsia="zh-CN" w:bidi="ar"/>
              </w:rPr>
              <w:t>时间同步器</w:t>
            </w:r>
          </w:p>
        </w:tc>
        <w:tc>
          <w:tcPr>
            <w:tcW w:w="2951" w:type="pct"/>
            <w:noWrap w:val="0"/>
            <w:vAlign w:val="top"/>
          </w:tcPr>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产品功能</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北斗、GPS(可选GLONASS)双参卫星时间源，可作为一级时间服务器;支持IRIG-B(DC)码、1PPS+TOD、NTP、PTP时间源输入;支持“多源判决"算法以实现时间源防误:</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高准确度:相对UTC时间准确度优于50ns;</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高守时性能:恒温晶振优于1us/h，铷钟优于0.1us/h，温补晶振优于55us/h(24小时);网络接口可选:2/4/6/8;</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可选配PTP接口;</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可选配TTL、RS-422/485、RS-232、光纤、空接点、PTP等信号接口(输出信号IRIG-B(DC)码、脉冲、串行口报文、DCF77可选);可选配高安全性NTP/SNTP网络接口(私有网络协议栈、静态内存分配);网络接口物理隔离，可配置IP;</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支持NTP时间源，可级联构成多级授时网络;</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支持NTP v1.v2.v3&amp;V4(RFC1119&amp;1305)、SNTP(RFC2030);</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支持SSH,SSL,SCPSNMPCustomMIB,HTTPS,Telnet;</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兼容IPv6和IPv4协议;</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支持10000条日志记录功能</w:t>
            </w:r>
          </w:p>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支持时间同步管理功能，配合管理系统实现设备工况在线管理;支持时间同步监测功能，配合管理系统实现时间同步业务闭环管理。支持双电源供电，110V或220V交直流供电电源。</w:t>
            </w:r>
          </w:p>
        </w:tc>
        <w:tc>
          <w:tcPr>
            <w:tcW w:w="42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项</w:t>
            </w:r>
          </w:p>
        </w:tc>
        <w:tc>
          <w:tcPr>
            <w:tcW w:w="450"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1</w:t>
            </w:r>
          </w:p>
        </w:tc>
        <w:tc>
          <w:tcPr>
            <w:tcW w:w="40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1" w:hRule="atLeast"/>
        </w:trPr>
        <w:tc>
          <w:tcPr>
            <w:tcW w:w="283"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8</w:t>
            </w:r>
          </w:p>
        </w:tc>
        <w:tc>
          <w:tcPr>
            <w:tcW w:w="491" w:type="pct"/>
            <w:noWrap w:val="0"/>
            <w:vAlign w:val="top"/>
          </w:tcPr>
          <w:p>
            <w:pPr>
              <w:pStyle w:val="3"/>
              <w:widowControl/>
              <w:spacing w:before="0" w:beforeAutospacing="0" w:after="0" w:afterAutospacing="0" w:line="540" w:lineRule="atLeast"/>
              <w:rPr>
                <w:rFonts w:hint="default" w:ascii="宋体" w:hAnsi="宋体" w:cs="宋体"/>
                <w:color w:val="666666"/>
                <w:kern w:val="0"/>
                <w:sz w:val="24"/>
                <w:szCs w:val="24"/>
                <w:lang w:val="en-US" w:eastAsia="zh-CN" w:bidi="ar"/>
              </w:rPr>
            </w:pPr>
            <w:r>
              <w:rPr>
                <w:rFonts w:hint="eastAsia" w:ascii="宋体" w:hAnsi="宋体" w:cs="宋体"/>
                <w:color w:val="666666"/>
                <w:kern w:val="0"/>
                <w:sz w:val="24"/>
                <w:szCs w:val="24"/>
                <w:lang w:val="en-US" w:eastAsia="zh-CN" w:bidi="ar"/>
              </w:rPr>
              <w:t>室外监控防水箱</w:t>
            </w:r>
          </w:p>
        </w:tc>
        <w:tc>
          <w:tcPr>
            <w:tcW w:w="2951" w:type="pct"/>
            <w:noWrap w:val="0"/>
            <w:vAlign w:val="top"/>
          </w:tcPr>
          <w:p>
            <w:pPr>
              <w:pStyle w:val="3"/>
              <w:widowControl/>
              <w:spacing w:before="0" w:beforeAutospacing="0" w:after="0" w:afterAutospacing="0" w:line="540" w:lineRule="atLeast"/>
              <w:ind w:firstLine="180" w:firstLineChars="100"/>
              <w:rPr>
                <w:rFonts w:hint="eastAsia" w:ascii="宋体" w:hAnsi="宋体" w:eastAsia="宋体" w:cs="宋体"/>
                <w:color w:val="666666"/>
                <w:kern w:val="0"/>
                <w:sz w:val="18"/>
                <w:szCs w:val="18"/>
                <w:lang w:val="en-US" w:eastAsia="zh-CN" w:bidi="ar"/>
              </w:rPr>
            </w:pPr>
            <w:r>
              <w:rPr>
                <w:rFonts w:hint="eastAsia" w:ascii="宋体" w:hAnsi="宋体" w:eastAsia="宋体" w:cs="宋体"/>
                <w:color w:val="666666"/>
                <w:kern w:val="0"/>
                <w:sz w:val="18"/>
                <w:szCs w:val="18"/>
                <w:lang w:val="en-US" w:eastAsia="zh-CN" w:bidi="ar"/>
              </w:rPr>
              <w:t>400*280*350</w:t>
            </w:r>
            <w:r>
              <w:rPr>
                <w:rFonts w:hint="default" w:ascii="宋体" w:hAnsi="宋体" w:cs="宋体"/>
                <w:color w:val="666666"/>
                <w:kern w:val="0"/>
                <w:sz w:val="18"/>
                <w:szCs w:val="18"/>
                <w:lang w:val="en-US" w:eastAsia="zh-CN" w:bidi="ar"/>
              </w:rPr>
              <w:t>mm,</w:t>
            </w:r>
            <w:r>
              <w:rPr>
                <w:rFonts w:hint="eastAsia" w:ascii="宋体" w:hAnsi="宋体" w:cs="宋体"/>
                <w:color w:val="666666"/>
                <w:kern w:val="0"/>
                <w:sz w:val="18"/>
                <w:szCs w:val="18"/>
                <w:lang w:val="en-US" w:eastAsia="zh-CN" w:bidi="ar"/>
              </w:rPr>
              <w:t xml:space="preserve"> 铁质</w:t>
            </w:r>
          </w:p>
        </w:tc>
        <w:tc>
          <w:tcPr>
            <w:tcW w:w="42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个</w:t>
            </w:r>
          </w:p>
        </w:tc>
        <w:tc>
          <w:tcPr>
            <w:tcW w:w="450"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3</w:t>
            </w:r>
          </w:p>
        </w:tc>
        <w:tc>
          <w:tcPr>
            <w:tcW w:w="40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9</w:t>
            </w:r>
          </w:p>
        </w:tc>
        <w:tc>
          <w:tcPr>
            <w:tcW w:w="491" w:type="pct"/>
            <w:noWrap w:val="0"/>
            <w:vAlign w:val="top"/>
          </w:tcPr>
          <w:p>
            <w:pPr>
              <w:pStyle w:val="3"/>
              <w:widowControl/>
              <w:spacing w:before="0" w:beforeAutospacing="0" w:after="0" w:afterAutospacing="0" w:line="540" w:lineRule="atLeast"/>
              <w:rPr>
                <w:rFonts w:hint="default" w:ascii="宋体" w:hAnsi="宋体" w:cs="宋体"/>
                <w:color w:val="666666"/>
                <w:kern w:val="0"/>
                <w:sz w:val="24"/>
                <w:szCs w:val="24"/>
                <w:lang w:val="en-US" w:eastAsia="zh-CN" w:bidi="ar"/>
              </w:rPr>
            </w:pPr>
            <w:r>
              <w:rPr>
                <w:rFonts w:hint="eastAsia" w:ascii="宋体" w:hAnsi="宋体" w:cs="宋体"/>
                <w:color w:val="666666"/>
                <w:kern w:val="0"/>
                <w:sz w:val="24"/>
                <w:szCs w:val="24"/>
                <w:lang w:val="en-US" w:eastAsia="zh-CN" w:bidi="ar"/>
              </w:rPr>
              <w:t>辅料</w:t>
            </w:r>
          </w:p>
        </w:tc>
        <w:tc>
          <w:tcPr>
            <w:tcW w:w="295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辅料：插排，插座，六类网线，1.5铜线等等</w:t>
            </w:r>
          </w:p>
        </w:tc>
        <w:tc>
          <w:tcPr>
            <w:tcW w:w="421"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批</w:t>
            </w:r>
          </w:p>
        </w:tc>
        <w:tc>
          <w:tcPr>
            <w:tcW w:w="450" w:type="pct"/>
            <w:noWrap w:val="0"/>
            <w:vAlign w:val="top"/>
          </w:tcPr>
          <w:p>
            <w:pPr>
              <w:pStyle w:val="3"/>
              <w:widowControl/>
              <w:spacing w:before="0" w:beforeAutospacing="0" w:after="0" w:afterAutospacing="0" w:line="540" w:lineRule="atLeast"/>
              <w:rPr>
                <w:rFonts w:hint="default"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1</w:t>
            </w:r>
          </w:p>
        </w:tc>
        <w:tc>
          <w:tcPr>
            <w:tcW w:w="401" w:type="pct"/>
            <w:noWrap w:val="0"/>
            <w:vAlign w:val="top"/>
          </w:tcPr>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p>
        </w:tc>
      </w:tr>
    </w:tbl>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供货期：签订合同后</w:t>
      </w:r>
      <w:r>
        <w:rPr>
          <w:rFonts w:hint="eastAsia" w:ascii="宋体" w:hAnsi="宋体" w:cs="宋体"/>
          <w:color w:val="666666"/>
          <w:kern w:val="0"/>
          <w:sz w:val="28"/>
          <w:szCs w:val="28"/>
          <w:lang w:val="en-US" w:eastAsia="zh-CN" w:bidi="ar"/>
        </w:rPr>
        <w:t>10</w:t>
      </w:r>
      <w:r>
        <w:rPr>
          <w:rFonts w:hint="eastAsia" w:ascii="宋体" w:hAnsi="宋体" w:eastAsia="宋体" w:cs="宋体"/>
          <w:color w:val="666666"/>
          <w:kern w:val="0"/>
          <w:sz w:val="28"/>
          <w:szCs w:val="28"/>
          <w:lang w:val="en-US" w:eastAsia="zh-CN" w:bidi="ar"/>
        </w:rPr>
        <w:t>工作日内。</w:t>
      </w:r>
    </w:p>
    <w:p>
      <w:pPr>
        <w:pStyle w:val="3"/>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质保期：验收合格之日起</w:t>
      </w:r>
      <w:r>
        <w:rPr>
          <w:rFonts w:hint="eastAsia" w:ascii="宋体" w:hAnsi="宋体" w:cs="宋体"/>
          <w:color w:val="666666"/>
          <w:kern w:val="0"/>
          <w:sz w:val="28"/>
          <w:szCs w:val="28"/>
          <w:lang w:val="en-US" w:eastAsia="zh-CN" w:bidi="ar"/>
        </w:rPr>
        <w:t>1</w:t>
      </w:r>
      <w:r>
        <w:rPr>
          <w:rFonts w:hint="eastAsia" w:ascii="宋体" w:hAnsi="宋体" w:eastAsia="宋体" w:cs="宋体"/>
          <w:color w:val="666666"/>
          <w:kern w:val="0"/>
          <w:sz w:val="28"/>
          <w:szCs w:val="28"/>
          <w:lang w:val="en-US" w:eastAsia="zh-CN" w:bidi="ar"/>
        </w:rPr>
        <w:t>年。</w:t>
      </w:r>
    </w:p>
    <w:p>
      <w:pPr>
        <w:ind w:firstLine="560" w:firstLineChars="2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付款方式：项目验收合格，出具验收报告，甲方</w:t>
      </w:r>
      <w:r>
        <w:rPr>
          <w:rFonts w:hint="eastAsia" w:ascii="宋体" w:hAnsi="宋体" w:cs="宋体"/>
          <w:color w:val="666666"/>
          <w:kern w:val="0"/>
          <w:sz w:val="28"/>
          <w:szCs w:val="28"/>
          <w:lang w:val="en-US" w:eastAsia="zh-CN" w:bidi="ar"/>
        </w:rPr>
        <w:t>办理国库集中支付</w:t>
      </w:r>
      <w:r>
        <w:rPr>
          <w:rFonts w:hint="eastAsia" w:ascii="宋体" w:hAnsi="宋体" w:eastAsia="宋体" w:cs="宋体"/>
          <w:color w:val="666666"/>
          <w:kern w:val="0"/>
          <w:sz w:val="28"/>
          <w:szCs w:val="28"/>
          <w:lang w:val="en-US" w:eastAsia="zh-CN" w:bidi="ar"/>
        </w:rPr>
        <w:t>乙方全部合同款</w:t>
      </w:r>
      <w:r>
        <w:rPr>
          <w:rFonts w:hint="eastAsia" w:ascii="宋体" w:hAnsi="宋体" w:cs="宋体"/>
          <w:color w:val="666666"/>
          <w:kern w:val="0"/>
          <w:sz w:val="28"/>
          <w:szCs w:val="28"/>
          <w:lang w:val="en-US" w:eastAsia="zh-CN" w:bidi="ar"/>
        </w:rPr>
        <w:t>（以财政批准国库集中支付时间为准）</w:t>
      </w:r>
      <w:r>
        <w:rPr>
          <w:rFonts w:hint="eastAsia" w:ascii="宋体" w:hAnsi="宋体" w:eastAsia="宋体" w:cs="宋体"/>
          <w:color w:val="666666"/>
          <w:kern w:val="0"/>
          <w:sz w:val="28"/>
          <w:szCs w:val="28"/>
          <w:lang w:val="en-US" w:eastAsia="zh-CN" w:bidi="ar"/>
        </w:rPr>
        <w:t>。</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二、申请人的资格要求</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1.满足《中华人民共和国政府采购法》第二十二条规定；</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2.落实政府采购政策需满足的资格要求：</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（1）未被列入“信用中国”网站(www.creditchina.gov.cn)、中国政府采购网(www.ccgp.gov.cn)等渠道信用失信被执行人、重大税收违法案件当事人名单、政府采购严重违法失信行为记录名单；</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单位负责人为同一人或者存在直接控股、管理关系供应商，不得参加同一项下的政府采购活动；为项目采购提供整体设计、规范编制或者项目管理、监理、检测等服务的供应商，不得再参加该项目采购的其他采购活动；</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（3）本项目不接受联合体投标。</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3.本项目的特定资格要求：无</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三、报名</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时间：</w:t>
      </w:r>
      <w:r>
        <w:rPr>
          <w:rFonts w:hint="eastAsia" w:ascii="宋体" w:hAnsi="宋体" w:cs="宋体"/>
          <w:color w:val="666666"/>
          <w:kern w:val="0"/>
          <w:sz w:val="28"/>
          <w:szCs w:val="28"/>
          <w:lang w:val="en-US" w:eastAsia="zh-CN" w:bidi="ar"/>
        </w:rPr>
        <w:t>2024</w:t>
      </w:r>
      <w:r>
        <w:rPr>
          <w:rFonts w:hint="eastAsia" w:ascii="宋体" w:hAnsi="宋体" w:eastAsia="宋体" w:cs="宋体"/>
          <w:color w:val="666666"/>
          <w:kern w:val="0"/>
          <w:sz w:val="28"/>
          <w:szCs w:val="28"/>
          <w:lang w:val="en-US" w:eastAsia="zh-CN" w:bidi="ar"/>
        </w:rPr>
        <w:t>年</w:t>
      </w:r>
      <w:r>
        <w:rPr>
          <w:rFonts w:hint="eastAsia" w:ascii="宋体" w:hAnsi="宋体" w:cs="宋体"/>
          <w:color w:val="666666"/>
          <w:kern w:val="0"/>
          <w:sz w:val="28"/>
          <w:szCs w:val="28"/>
          <w:lang w:val="en-US" w:eastAsia="zh-CN" w:bidi="ar"/>
        </w:rPr>
        <w:t>9</w:t>
      </w:r>
      <w:r>
        <w:rPr>
          <w:rFonts w:hint="eastAsia" w:ascii="宋体" w:hAnsi="宋体" w:eastAsia="宋体" w:cs="宋体"/>
          <w:color w:val="666666"/>
          <w:kern w:val="0"/>
          <w:sz w:val="28"/>
          <w:szCs w:val="28"/>
          <w:lang w:val="en-US" w:eastAsia="zh-CN" w:bidi="ar"/>
        </w:rPr>
        <w:t>月</w:t>
      </w:r>
      <w:r>
        <w:rPr>
          <w:rFonts w:hint="eastAsia" w:ascii="宋体" w:hAnsi="宋体" w:cs="宋体"/>
          <w:color w:val="666666"/>
          <w:kern w:val="0"/>
          <w:sz w:val="28"/>
          <w:szCs w:val="28"/>
          <w:lang w:val="en-US" w:eastAsia="zh-CN" w:bidi="ar"/>
        </w:rPr>
        <w:t>25</w:t>
      </w:r>
      <w:r>
        <w:rPr>
          <w:rFonts w:hint="eastAsia" w:ascii="宋体" w:hAnsi="宋体" w:eastAsia="宋体" w:cs="宋体"/>
          <w:color w:val="666666"/>
          <w:kern w:val="0"/>
          <w:sz w:val="28"/>
          <w:szCs w:val="28"/>
          <w:lang w:val="en-US" w:eastAsia="zh-CN" w:bidi="ar"/>
        </w:rPr>
        <w:t>日至</w:t>
      </w:r>
      <w:r>
        <w:rPr>
          <w:rFonts w:hint="eastAsia" w:ascii="宋体" w:hAnsi="宋体" w:cs="宋体"/>
          <w:color w:val="666666"/>
          <w:kern w:val="0"/>
          <w:sz w:val="28"/>
          <w:szCs w:val="28"/>
          <w:lang w:val="en-US" w:eastAsia="zh-CN" w:bidi="ar"/>
        </w:rPr>
        <w:t>2024</w:t>
      </w:r>
      <w:r>
        <w:rPr>
          <w:rFonts w:hint="eastAsia" w:ascii="宋体" w:hAnsi="宋体" w:eastAsia="宋体" w:cs="宋体"/>
          <w:color w:val="666666"/>
          <w:kern w:val="0"/>
          <w:sz w:val="28"/>
          <w:szCs w:val="28"/>
          <w:lang w:val="en-US" w:eastAsia="zh-CN" w:bidi="ar"/>
        </w:rPr>
        <w:t>年</w:t>
      </w:r>
      <w:r>
        <w:rPr>
          <w:rFonts w:hint="eastAsia" w:ascii="宋体" w:hAnsi="宋体" w:cs="宋体"/>
          <w:color w:val="666666"/>
          <w:kern w:val="0"/>
          <w:sz w:val="28"/>
          <w:szCs w:val="28"/>
          <w:lang w:val="en-US" w:eastAsia="zh-CN" w:bidi="ar"/>
        </w:rPr>
        <w:t>9</w:t>
      </w:r>
      <w:r>
        <w:rPr>
          <w:rFonts w:hint="eastAsia" w:ascii="宋体" w:hAnsi="宋体" w:eastAsia="宋体" w:cs="宋体"/>
          <w:color w:val="666666"/>
          <w:kern w:val="0"/>
          <w:sz w:val="28"/>
          <w:szCs w:val="28"/>
          <w:lang w:val="en-US" w:eastAsia="zh-CN" w:bidi="ar"/>
        </w:rPr>
        <w:t>月</w:t>
      </w:r>
      <w:r>
        <w:rPr>
          <w:rFonts w:hint="eastAsia" w:ascii="宋体" w:hAnsi="宋体" w:cs="宋体"/>
          <w:color w:val="666666"/>
          <w:kern w:val="0"/>
          <w:sz w:val="28"/>
          <w:szCs w:val="28"/>
          <w:lang w:val="en-US" w:eastAsia="zh-CN" w:bidi="ar"/>
        </w:rPr>
        <w:t>27</w:t>
      </w:r>
      <w:r>
        <w:rPr>
          <w:rFonts w:hint="eastAsia" w:ascii="宋体" w:hAnsi="宋体" w:eastAsia="宋体" w:cs="宋体"/>
          <w:color w:val="666666"/>
          <w:kern w:val="0"/>
          <w:sz w:val="28"/>
          <w:szCs w:val="28"/>
          <w:lang w:val="en-US" w:eastAsia="zh-CN" w:bidi="ar"/>
        </w:rPr>
        <w:t>日，每天上午8:30至11:00，下午14:30至17:00。</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地点：赤峰学院</w:t>
      </w:r>
      <w:r>
        <w:rPr>
          <w:rFonts w:hint="eastAsia" w:ascii="宋体" w:hAnsi="宋体" w:cs="宋体"/>
          <w:color w:val="666666"/>
          <w:kern w:val="0"/>
          <w:sz w:val="28"/>
          <w:szCs w:val="28"/>
          <w:lang w:val="en-US" w:eastAsia="zh-CN" w:bidi="ar"/>
        </w:rPr>
        <w:t>博远楼</w:t>
      </w:r>
      <w:r>
        <w:rPr>
          <w:rFonts w:hint="eastAsia" w:ascii="宋体" w:hAnsi="宋体" w:eastAsia="宋体" w:cs="宋体"/>
          <w:color w:val="666666"/>
          <w:kern w:val="0"/>
          <w:sz w:val="28"/>
          <w:szCs w:val="28"/>
          <w:lang w:val="en-US" w:eastAsia="zh-CN" w:bidi="ar"/>
        </w:rPr>
        <w:t>楼</w:t>
      </w:r>
      <w:r>
        <w:rPr>
          <w:rFonts w:hint="eastAsia" w:ascii="宋体" w:hAnsi="宋体" w:cs="宋体"/>
          <w:color w:val="666666"/>
          <w:kern w:val="0"/>
          <w:sz w:val="28"/>
          <w:szCs w:val="28"/>
          <w:lang w:val="en-US" w:eastAsia="zh-CN" w:bidi="ar"/>
        </w:rPr>
        <w:t>105</w:t>
      </w:r>
      <w:r>
        <w:rPr>
          <w:rFonts w:hint="eastAsia" w:ascii="宋体" w:hAnsi="宋体" w:eastAsia="宋体" w:cs="宋体"/>
          <w:color w:val="666666"/>
          <w:kern w:val="0"/>
          <w:sz w:val="28"/>
          <w:szCs w:val="28"/>
          <w:lang w:val="en-US" w:eastAsia="zh-CN" w:bidi="ar"/>
        </w:rPr>
        <w:t>室</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方式：报名时需携带加盖公章的以下资料原件及复印件一份：</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（1）预投标人代表身份证明：法定代表人提供身份证明（复印件）；授权委托人提供授权委托书（原件）及身份证明（复印件）；</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（2）三证合一或多证合一营业执照副本（复印件）；</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left="0" w:leftChars="0" w:right="0" w:firstLine="560" w:firstLineChars="200"/>
        <w:textAlignment w:val="auto"/>
        <w:rPr>
          <w:rFonts w:hint="eastAsia" w:ascii="宋体" w:hAnsi="宋体" w:cs="宋体"/>
          <w:color w:val="auto"/>
          <w:kern w:val="0"/>
          <w:sz w:val="28"/>
          <w:szCs w:val="28"/>
          <w:lang w:val="en-US" w:eastAsia="zh-CN" w:bidi="ar"/>
        </w:rPr>
      </w:pPr>
      <w:r>
        <w:rPr>
          <w:rFonts w:hint="eastAsia" w:ascii="宋体" w:hAnsi="宋体" w:cs="宋体"/>
          <w:color w:val="auto"/>
          <w:kern w:val="0"/>
          <w:sz w:val="28"/>
          <w:szCs w:val="28"/>
          <w:lang w:val="en-US" w:eastAsia="zh-CN" w:bidi="ar"/>
        </w:rPr>
        <w:t>（3）</w:t>
      </w:r>
      <w:r>
        <w:rPr>
          <w:rFonts w:hint="eastAsia" w:ascii="宋体" w:hAnsi="宋体" w:eastAsia="宋体" w:cs="宋体"/>
          <w:color w:val="auto"/>
          <w:kern w:val="0"/>
          <w:sz w:val="28"/>
          <w:szCs w:val="28"/>
          <w:lang w:val="en-US" w:eastAsia="zh-CN" w:bidi="ar"/>
        </w:rPr>
        <w:t>未被列入“信用中国”网站(www.creditchina.gov.cn)、中国政府采购网(www.ccgp.gov.cn)等渠道信用失信被执行人、重大税收违法案件当事人名单、政府采购严重违法失信行为记录名单；</w:t>
      </w:r>
      <w:r>
        <w:rPr>
          <w:rFonts w:hint="eastAsia" w:ascii="宋体" w:hAnsi="宋体" w:cs="宋体"/>
          <w:color w:val="auto"/>
          <w:kern w:val="0"/>
          <w:sz w:val="28"/>
          <w:szCs w:val="28"/>
          <w:lang w:val="en-US" w:eastAsia="zh-CN" w:bidi="ar"/>
        </w:rPr>
        <w:t>提供截图或证明材料。</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left="0" w:leftChars="0" w:right="0" w:firstLine="560" w:firstLineChars="200"/>
        <w:textAlignment w:val="auto"/>
        <w:rPr>
          <w:rFonts w:hint="eastAsia" w:ascii="宋体" w:hAnsi="宋体" w:eastAsia="宋体" w:cs="宋体"/>
          <w:color w:val="auto"/>
          <w:kern w:val="0"/>
          <w:sz w:val="28"/>
          <w:szCs w:val="28"/>
          <w:lang w:val="en-US" w:eastAsia="zh-CN" w:bidi="ar"/>
        </w:rPr>
      </w:pPr>
      <w:r>
        <w:rPr>
          <w:rFonts w:hint="eastAsia" w:ascii="宋体" w:hAnsi="宋体" w:cs="宋体"/>
          <w:color w:val="auto"/>
          <w:kern w:val="0"/>
          <w:sz w:val="28"/>
          <w:szCs w:val="28"/>
          <w:lang w:val="en-US" w:eastAsia="zh-CN" w:bidi="ar"/>
        </w:rPr>
        <w:t>（4）</w:t>
      </w:r>
      <w:r>
        <w:rPr>
          <w:rFonts w:hint="eastAsia" w:ascii="宋体" w:hAnsi="宋体" w:eastAsia="宋体" w:cs="宋体"/>
          <w:color w:val="auto"/>
          <w:kern w:val="0"/>
          <w:sz w:val="28"/>
          <w:szCs w:val="28"/>
          <w:lang w:val="en-US" w:eastAsia="zh-CN" w:bidi="ar"/>
        </w:rPr>
        <w:t>单位负责人为同一人或者存在直接控股、管理关系供应商，不得参加同一项下的政府采购活动；出具“天眼查”或“企查查”生成的报告（查关联单位）。</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询价文件免费下载，下载地址赤峰学院主页采购专栏（http://www.cfxy.cn/）</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四、提交投标报价截止时间、开标时间和地点</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提交投标报价截止时间</w:t>
      </w:r>
      <w:r>
        <w:rPr>
          <w:rFonts w:hint="eastAsia" w:ascii="宋体" w:hAnsi="宋体" w:cs="宋体"/>
          <w:color w:val="666666"/>
          <w:kern w:val="0"/>
          <w:sz w:val="28"/>
          <w:szCs w:val="28"/>
          <w:lang w:val="en-US" w:eastAsia="zh-CN" w:bidi="ar"/>
        </w:rPr>
        <w:t>暨</w:t>
      </w:r>
      <w:r>
        <w:rPr>
          <w:rFonts w:hint="eastAsia" w:ascii="宋体" w:hAnsi="宋体" w:eastAsia="宋体" w:cs="宋体"/>
          <w:color w:val="666666"/>
          <w:kern w:val="0"/>
          <w:sz w:val="28"/>
          <w:szCs w:val="28"/>
          <w:lang w:val="en-US" w:eastAsia="zh-CN" w:bidi="ar"/>
        </w:rPr>
        <w:t>开标时间：</w:t>
      </w:r>
      <w:r>
        <w:rPr>
          <w:rFonts w:hint="eastAsia" w:ascii="宋体" w:hAnsi="宋体" w:cs="宋体"/>
          <w:color w:val="666666"/>
          <w:kern w:val="0"/>
          <w:sz w:val="28"/>
          <w:szCs w:val="28"/>
          <w:lang w:val="en-US" w:eastAsia="zh-CN" w:bidi="ar"/>
        </w:rPr>
        <w:t>2024</w:t>
      </w:r>
      <w:r>
        <w:rPr>
          <w:rFonts w:hint="eastAsia" w:ascii="宋体" w:hAnsi="宋体" w:eastAsia="宋体" w:cs="宋体"/>
          <w:color w:val="666666"/>
          <w:kern w:val="0"/>
          <w:sz w:val="28"/>
          <w:szCs w:val="28"/>
          <w:lang w:val="en-US" w:eastAsia="zh-CN" w:bidi="ar"/>
        </w:rPr>
        <w:t>年</w:t>
      </w:r>
      <w:r>
        <w:rPr>
          <w:rFonts w:hint="eastAsia" w:ascii="宋体" w:hAnsi="宋体" w:cs="宋体"/>
          <w:color w:val="666666"/>
          <w:kern w:val="0"/>
          <w:sz w:val="28"/>
          <w:szCs w:val="28"/>
          <w:lang w:val="en-US" w:eastAsia="zh-CN" w:bidi="ar"/>
        </w:rPr>
        <w:t>9</w:t>
      </w:r>
      <w:r>
        <w:rPr>
          <w:rFonts w:hint="eastAsia" w:ascii="宋体" w:hAnsi="宋体" w:eastAsia="宋体" w:cs="宋体"/>
          <w:color w:val="666666"/>
          <w:kern w:val="0"/>
          <w:sz w:val="28"/>
          <w:szCs w:val="28"/>
          <w:lang w:val="en-US" w:eastAsia="zh-CN" w:bidi="ar"/>
        </w:rPr>
        <w:t>月</w:t>
      </w:r>
      <w:r>
        <w:rPr>
          <w:rFonts w:hint="eastAsia" w:ascii="宋体" w:hAnsi="宋体" w:cs="宋体"/>
          <w:color w:val="666666"/>
          <w:kern w:val="0"/>
          <w:sz w:val="28"/>
          <w:szCs w:val="28"/>
          <w:lang w:val="en-US" w:eastAsia="zh-CN" w:bidi="ar"/>
        </w:rPr>
        <w:t>29</w:t>
      </w:r>
      <w:r>
        <w:rPr>
          <w:rFonts w:hint="eastAsia" w:ascii="宋体" w:hAnsi="宋体" w:eastAsia="宋体" w:cs="宋体"/>
          <w:color w:val="666666"/>
          <w:kern w:val="0"/>
          <w:sz w:val="28"/>
          <w:szCs w:val="28"/>
          <w:lang w:val="en-US" w:eastAsia="zh-CN" w:bidi="ar"/>
        </w:rPr>
        <w:t>日</w:t>
      </w:r>
      <w:r>
        <w:rPr>
          <w:rFonts w:hint="eastAsia" w:ascii="宋体" w:hAnsi="宋体" w:cs="宋体"/>
          <w:color w:val="666666"/>
          <w:kern w:val="0"/>
          <w:sz w:val="28"/>
          <w:szCs w:val="28"/>
          <w:lang w:val="en-US" w:eastAsia="zh-CN" w:bidi="ar"/>
        </w:rPr>
        <w:t>9</w:t>
      </w:r>
      <w:r>
        <w:rPr>
          <w:rFonts w:hint="eastAsia" w:ascii="宋体" w:hAnsi="宋体" w:eastAsia="宋体" w:cs="宋体"/>
          <w:color w:val="666666"/>
          <w:kern w:val="0"/>
          <w:sz w:val="28"/>
          <w:szCs w:val="28"/>
          <w:lang w:val="en-US" w:eastAsia="zh-CN" w:bidi="ar"/>
        </w:rPr>
        <w:t>点</w:t>
      </w:r>
      <w:r>
        <w:rPr>
          <w:rFonts w:hint="eastAsia" w:ascii="宋体" w:hAnsi="宋体" w:cs="宋体"/>
          <w:color w:val="666666"/>
          <w:kern w:val="0"/>
          <w:sz w:val="28"/>
          <w:szCs w:val="28"/>
          <w:lang w:val="en-US" w:eastAsia="zh-CN" w:bidi="ar"/>
        </w:rPr>
        <w:t>整</w:t>
      </w:r>
    </w:p>
    <w:p>
      <w:pPr>
        <w:pStyle w:val="3"/>
        <w:widowControl/>
        <w:spacing w:before="0" w:beforeAutospacing="0" w:after="0" w:afterAutospacing="0" w:line="540" w:lineRule="atLeast"/>
        <w:ind w:firstLine="555"/>
        <w:rPr>
          <w:rFonts w:hint="default" w:ascii="宋体" w:hAnsi="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地点：赤峰学院</w:t>
      </w:r>
      <w:r>
        <w:rPr>
          <w:rFonts w:hint="eastAsia" w:ascii="宋体" w:hAnsi="宋体" w:cs="宋体"/>
          <w:color w:val="666666"/>
          <w:kern w:val="0"/>
          <w:sz w:val="28"/>
          <w:szCs w:val="28"/>
          <w:lang w:val="en-US" w:eastAsia="zh-CN" w:bidi="ar"/>
        </w:rPr>
        <w:t>博远楼校安处会议室</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五、公告期限</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自本公告发布之日起</w:t>
      </w:r>
      <w:r>
        <w:rPr>
          <w:rFonts w:hint="eastAsia" w:ascii="宋体" w:hAnsi="宋体" w:cs="宋体"/>
          <w:color w:val="666666"/>
          <w:kern w:val="0"/>
          <w:sz w:val="28"/>
          <w:szCs w:val="28"/>
          <w:lang w:val="en-US" w:eastAsia="zh-CN" w:bidi="ar"/>
        </w:rPr>
        <w:t>3</w:t>
      </w:r>
      <w:r>
        <w:rPr>
          <w:rFonts w:hint="eastAsia" w:ascii="宋体" w:hAnsi="宋体" w:eastAsia="宋体" w:cs="宋体"/>
          <w:color w:val="666666"/>
          <w:kern w:val="0"/>
          <w:sz w:val="28"/>
          <w:szCs w:val="28"/>
          <w:lang w:val="en-US" w:eastAsia="zh-CN" w:bidi="ar"/>
        </w:rPr>
        <w:t>个工作日。</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六、其他补充事宜</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发布公告的媒介：赤峰学院主页http://www.cfxy.cn/“政府采购专栏”上发布。</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七、联系方式</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1.采购人信息</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名 称：赤峰学院</w:t>
      </w:r>
      <w:r>
        <w:rPr>
          <w:rFonts w:hint="eastAsia" w:ascii="宋体" w:hAnsi="宋体" w:cs="宋体"/>
          <w:color w:val="666666"/>
          <w:kern w:val="0"/>
          <w:sz w:val="28"/>
          <w:szCs w:val="28"/>
          <w:lang w:val="en-US" w:eastAsia="zh-CN" w:bidi="ar"/>
        </w:rPr>
        <w:t>校园安全管理处一键报警装置</w:t>
      </w:r>
      <w:r>
        <w:rPr>
          <w:rFonts w:hint="eastAsia" w:ascii="宋体" w:hAnsi="宋体" w:eastAsia="宋体" w:cs="宋体"/>
          <w:color w:val="666666"/>
          <w:kern w:val="0"/>
          <w:sz w:val="28"/>
          <w:szCs w:val="28"/>
          <w:lang w:val="en-US" w:eastAsia="zh-CN" w:bidi="ar"/>
        </w:rPr>
        <w:t>　　　　　</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地址：赤峰市红山区迎宾路1号　　　　　　　</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联系人：</w:t>
      </w:r>
      <w:r>
        <w:rPr>
          <w:rFonts w:hint="eastAsia" w:ascii="宋体" w:hAnsi="宋体" w:cs="宋体"/>
          <w:color w:val="666666"/>
          <w:kern w:val="0"/>
          <w:sz w:val="28"/>
          <w:szCs w:val="28"/>
          <w:lang w:val="en-US" w:eastAsia="zh-CN" w:bidi="ar"/>
        </w:rPr>
        <w:t>冯朔</w:t>
      </w:r>
      <w:r>
        <w:rPr>
          <w:rFonts w:hint="eastAsia" w:ascii="宋体" w:hAnsi="宋体" w:eastAsia="宋体" w:cs="宋体"/>
          <w:color w:val="666666"/>
          <w:kern w:val="0"/>
          <w:sz w:val="28"/>
          <w:szCs w:val="28"/>
          <w:lang w:val="en-US" w:eastAsia="zh-CN" w:bidi="ar"/>
        </w:rPr>
        <w:t xml:space="preserve">  联系电话：</w:t>
      </w:r>
      <w:r>
        <w:rPr>
          <w:rFonts w:hint="eastAsia" w:ascii="宋体" w:hAnsi="宋体" w:cs="宋体"/>
          <w:color w:val="666666"/>
          <w:kern w:val="0"/>
          <w:sz w:val="28"/>
          <w:szCs w:val="28"/>
          <w:lang w:val="en-US" w:eastAsia="zh-CN" w:bidi="ar"/>
        </w:rPr>
        <w:t>0476-8300116</w:t>
      </w:r>
      <w:r>
        <w:rPr>
          <w:rFonts w:hint="eastAsia" w:ascii="宋体" w:hAnsi="宋体" w:eastAsia="宋体" w:cs="宋体"/>
          <w:color w:val="666666"/>
          <w:kern w:val="0"/>
          <w:sz w:val="28"/>
          <w:szCs w:val="28"/>
          <w:lang w:val="en-US" w:eastAsia="zh-CN" w:bidi="ar"/>
        </w:rPr>
        <w:t>　　　　　　</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2.采购监管机构信息</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名 称：赤峰学院资产与实验室管理处　　　　　　　　　　　　</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地　址：赤峰学院崇德楼509室   　　　　　　　　　　　　</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联系电话：0476-8300171　　　　　　　　　　　　</w:t>
      </w:r>
    </w:p>
    <w:p>
      <w:pPr>
        <w:pStyle w:val="3"/>
        <w:widowControl/>
        <w:spacing w:before="0" w:beforeAutospacing="0" w:after="0" w:afterAutospacing="0" w:line="450" w:lineRule="atLeast"/>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rPr>
          <w:rFonts w:hint="eastAsia" w:ascii="宋体" w:hAnsi="宋体" w:eastAsia="宋体" w:cs="宋体"/>
          <w:color w:val="666666"/>
          <w:kern w:val="0"/>
          <w:sz w:val="32"/>
          <w:szCs w:val="32"/>
          <w:lang w:val="en-US" w:eastAsia="zh-CN" w:bidi="ar"/>
        </w:rPr>
      </w:pPr>
    </w:p>
    <w:p>
      <w:pPr>
        <w:ind w:firstLine="2880" w:firstLineChars="900"/>
        <w:rPr>
          <w:rFonts w:hint="eastAsia" w:ascii="宋体" w:hAnsi="宋体" w:eastAsia="宋体" w:cs="宋体"/>
          <w:color w:val="666666"/>
          <w:kern w:val="0"/>
          <w:sz w:val="32"/>
          <w:szCs w:val="32"/>
          <w:lang w:val="en-US" w:eastAsia="zh-CN" w:bidi="ar"/>
        </w:rPr>
      </w:pPr>
      <w:r>
        <w:rPr>
          <w:rFonts w:hint="eastAsia" w:ascii="宋体" w:hAnsi="宋体" w:eastAsia="宋体" w:cs="宋体"/>
          <w:color w:val="666666"/>
          <w:kern w:val="0"/>
          <w:sz w:val="32"/>
          <w:szCs w:val="32"/>
          <w:lang w:val="en-US" w:eastAsia="zh-CN" w:bidi="ar"/>
        </w:rPr>
        <w:t>合同（样本）</w:t>
      </w:r>
    </w:p>
    <w:p>
      <w:pPr>
        <w:jc w:val="cente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（按最后确定的询价内容执行）</w:t>
      </w:r>
    </w:p>
    <w:p>
      <w:p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采购人：赤峰学院（以下简称甲方）</w:t>
      </w:r>
    </w:p>
    <w:p>
      <w:p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成交人： XXXXXXXXXXX（以下简称乙方）</w:t>
      </w:r>
    </w:p>
    <w:p>
      <w:p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合同编号：</w:t>
      </w:r>
      <w:r>
        <w:rPr>
          <w:rFonts w:hint="eastAsia" w:ascii="宋体" w:hAnsi="宋体" w:eastAsia="宋体" w:cs="宋体"/>
          <w:color w:val="666666"/>
          <w:sz w:val="30"/>
          <w:szCs w:val="30"/>
          <w:lang w:val="en-US" w:eastAsia="zh-CN"/>
        </w:rPr>
        <w:t>项目单位名称（首字母）+年度+序号（如：001,002,003…）</w:t>
      </w:r>
    </w:p>
    <w:p>
      <w:pPr>
        <w:pStyle w:val="3"/>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乙方在甲方XXXX（项目单位名称）组织的×××××（项目名称）询价采购中成交，依据《中华人民共和国民法典》及其他有关法律规定，遵循平等、自愿、公平和诚实信用的原则，根据本次询价的内容及乙方的承诺，经甲、乙双方协商一致，达成如下条款，签订本合同，以便共同遵守。</w:t>
      </w:r>
    </w:p>
    <w:p>
      <w:pPr>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    一、定义</w:t>
      </w:r>
    </w:p>
    <w:p>
      <w:pPr>
        <w:autoSpaceDE w:val="0"/>
        <w:autoSpaceDN w:val="0"/>
        <w:adjustRightInd w:val="0"/>
        <w:snapToGrid w:val="0"/>
        <w:spacing w:line="600" w:lineRule="exact"/>
        <w:ind w:right="32" w:firstLine="498" w:firstLineChars="178"/>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 “合同”系指甲乙双方签署的、合同格式中载明的甲乙双方所达成的协议，包括所有的附件、附录和构成合同的所有文件；</w:t>
      </w:r>
    </w:p>
    <w:p>
      <w:pPr>
        <w:autoSpaceDE w:val="0"/>
        <w:autoSpaceDN w:val="0"/>
        <w:adjustRightInd w:val="0"/>
        <w:snapToGrid w:val="0"/>
        <w:spacing w:line="600" w:lineRule="exact"/>
        <w:ind w:right="32" w:firstLine="498" w:firstLineChars="178"/>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 “合同价”系指根据合同规定，乙方在完全履行合同义务后甲方应付给的价格；</w:t>
      </w:r>
    </w:p>
    <w:p>
      <w:pPr>
        <w:autoSpaceDE w:val="0"/>
        <w:autoSpaceDN w:val="0"/>
        <w:adjustRightInd w:val="0"/>
        <w:snapToGrid w:val="0"/>
        <w:spacing w:line="600" w:lineRule="exact"/>
        <w:ind w:right="32" w:firstLine="498" w:firstLineChars="178"/>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 “货物”系指乙方根据合同规定须向甲方提供的×××××</w:t>
      </w:r>
      <w:r>
        <w:rPr>
          <w:rFonts w:hint="eastAsia" w:ascii="宋体" w:hAnsi="宋体" w:cs="宋体"/>
          <w:color w:val="666666"/>
          <w:kern w:val="0"/>
          <w:sz w:val="28"/>
          <w:szCs w:val="28"/>
          <w:lang w:val="en-US" w:eastAsia="zh-CN" w:bidi="ar"/>
        </w:rPr>
        <w:t>（项目标的）</w:t>
      </w:r>
      <w:r>
        <w:rPr>
          <w:rFonts w:hint="eastAsia" w:ascii="宋体" w:hAnsi="宋体" w:eastAsia="宋体" w:cs="宋体"/>
          <w:color w:val="666666"/>
          <w:kern w:val="0"/>
          <w:sz w:val="28"/>
          <w:szCs w:val="28"/>
          <w:lang w:val="en-US" w:eastAsia="zh-CN" w:bidi="ar"/>
        </w:rPr>
        <w:t>和相关技术资料及其他材料；</w:t>
      </w:r>
    </w:p>
    <w:p>
      <w:pPr>
        <w:autoSpaceDE w:val="0"/>
        <w:autoSpaceDN w:val="0"/>
        <w:adjustRightInd w:val="0"/>
        <w:snapToGrid w:val="0"/>
        <w:spacing w:line="600" w:lineRule="exact"/>
        <w:ind w:right="32" w:firstLine="498" w:firstLineChars="178"/>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4. “服务”系指根据合同规定乙方承担与供货有关的辅助服务，如运输、保险以及其它的服务，如安装、调试、提供技术援助和其他类似的义务；</w:t>
      </w:r>
    </w:p>
    <w:p>
      <w:pPr>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    二、合同货物的名称及技术要求：</w:t>
      </w:r>
    </w:p>
    <w:p>
      <w:pPr>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    此处粘贴中标供应商报价单中的清单。</w:t>
      </w:r>
    </w:p>
    <w:p>
      <w:pPr>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    三、合同金额及付款方式：</w:t>
      </w:r>
    </w:p>
    <w:p>
      <w:pPr>
        <w:ind w:firstLine="565" w:firstLineChars="202"/>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1.合同货款总额：        元整，￥:      元</w:t>
      </w:r>
    </w:p>
    <w:p>
      <w:pPr>
        <w:widowControl/>
        <w:ind w:firstLine="560" w:firstLineChars="2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2.付款方式：此处粘贴询价公告对应内容。</w:t>
      </w:r>
    </w:p>
    <w:p>
      <w:pPr>
        <w:widowControl/>
        <w:ind w:firstLine="560" w:firstLineChars="2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四、交货方式：</w:t>
      </w:r>
    </w:p>
    <w:p>
      <w:pPr>
        <w:ind w:firstLine="560" w:firstLineChars="200"/>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1.交货期限：此处粘贴询价公告对应内容。</w:t>
      </w:r>
    </w:p>
    <w:p>
      <w:pPr>
        <w:ind w:firstLine="560" w:firstLineChars="200"/>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2.交货地点：赤峰学院指定地点。</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五、质量标准和验收：</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质保期：此处粘贴询价公告对应内容（若中标供应商承诺质保期更长，则按长的填写）</w:t>
      </w:r>
    </w:p>
    <w:p>
      <w:pPr>
        <w:widowControl/>
        <w:ind w:firstLine="565" w:firstLineChars="202"/>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1.乙方应保证完全符合合同规定的质量、规格和性能的要求。</w:t>
      </w:r>
    </w:p>
    <w:p>
      <w:pPr>
        <w:widowControl/>
        <w:ind w:firstLine="565" w:firstLineChars="202"/>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2.乙方承诺提供给甲方的××××××（项目标的）的技术规范应与合同清单质量标准的“规定”相一致。</w:t>
      </w:r>
    </w:p>
    <w:p>
      <w:pPr>
        <w:widowControl/>
        <w:ind w:firstLine="565" w:firstLineChars="202"/>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3.甲方对合同中×××××（项目标的）的数量、质量及效果等进行检验，检验应依据本合同中的有关规定进行。</w:t>
      </w:r>
    </w:p>
    <w:p>
      <w:pPr>
        <w:widowControl/>
        <w:ind w:firstLine="565" w:firstLineChars="202"/>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检验时发现供应数量、质量不符等，甲方不予验收；相关费用由乙方承担。</w:t>
      </w:r>
    </w:p>
    <w:p>
      <w:pPr>
        <w:numPr>
          <w:ilvl w:val="0"/>
          <w:numId w:val="2"/>
        </w:numPr>
        <w:spacing w:line="360" w:lineRule="auto"/>
        <w:ind w:left="420" w:leftChars="2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××××（项目标的）交货验收合格，双方签署《验收书》。</w:t>
      </w:r>
      <w:r>
        <w:rPr>
          <w:rFonts w:hint="eastAsia" w:ascii="宋体" w:hAnsi="宋体" w:eastAsia="宋体" w:cs="宋体"/>
          <w:color w:val="666666"/>
          <w:kern w:val="0"/>
          <w:sz w:val="28"/>
          <w:szCs w:val="28"/>
          <w:lang w:val="en-US" w:eastAsia="zh-CN" w:bidi="ar"/>
        </w:rPr>
        <w:br w:type="textWrapping"/>
      </w:r>
      <w:r>
        <w:rPr>
          <w:rFonts w:hint="eastAsia" w:ascii="宋体" w:hAnsi="宋体" w:eastAsia="宋体" w:cs="宋体"/>
          <w:color w:val="666666"/>
          <w:kern w:val="0"/>
          <w:sz w:val="28"/>
          <w:szCs w:val="28"/>
          <w:lang w:val="en-US" w:eastAsia="zh-CN" w:bidi="ar"/>
        </w:rPr>
        <w:t>6.本合同××××（项目标的）质保期内提供全免费保修、维护。</w:t>
      </w:r>
    </w:p>
    <w:p>
      <w:pPr>
        <w:numPr>
          <w:ilvl w:val="0"/>
          <w:numId w:val="0"/>
        </w:numPr>
        <w:spacing w:line="360" w:lineRule="auto"/>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质保期满维修维护只收取配件成本费。</w:t>
      </w:r>
    </w:p>
    <w:p>
      <w:pPr>
        <w:widowControl/>
        <w:ind w:firstLine="280" w:firstLineChars="100"/>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7.由于非甲方原因造成××××（项目标的）不能正常使用，乙方负责甲方的相关损失。</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六、违约责任</w:t>
      </w:r>
    </w:p>
    <w:p>
      <w:pPr>
        <w:widowControl/>
        <w:ind w:firstLine="700" w:firstLineChars="250"/>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1.如果乙方未按照合同规定的要求交付××××××（项目标的）时，乙方应承担相应违约责任，甲方有权终止合同，乙方向甲方支付合同总金额的百分之十的违约金。</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2.延期付款的违约责任</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如甲方未按照合同约定时间或金额支付合同价款，每逾期一日，甲方应按照逾期未支付金额的银行同期贷款利率的两倍计算，向乙方支付逾期付款违约金，但不超过合同总金额的百分之十。</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七、不可抗力</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1.不可抗力指不能预见、不能避免并不能克服的客观情况。</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2.因不可抗力不能履行合同的，根据不可抗力的影响，部分或者全部免除责任，但法律另有规定的除外。</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3.一方因不可抗力不能履行合同的，应当及时通知对方，以减轻可能给对方造成的损失，并应当在合理期限内提供证明。</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八、争议解决</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1.履行合同过程中发生争议，双方应通过友好协商解决；经协商不能达成协议时，则双方同意在甲方住所地有管辖权的人民法院提起诉讼。</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2.在诉讼期间，除了必须在诉讼过程中进行解决的那部分问题以外，合同其余部分应继续履行。</w:t>
      </w:r>
    </w:p>
    <w:p>
      <w:pPr>
        <w:spacing w:line="520" w:lineRule="exact"/>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九、合同补充、修改或变更</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1.双方协商一致，可以依法对本合同进行补充、修改或变更。</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2.对本合同的任何补充、修改或变更必须以书面形式进行。</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3.双方签订的补充协议以及修改或变更的条款与本合同具有同等法律效力。</w:t>
      </w:r>
    </w:p>
    <w:p>
      <w:pPr>
        <w:spacing w:line="520" w:lineRule="exact"/>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十、合同的生效</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合同签署的所有内容必须符合本次采购项目最终成交结果，甲、乙双方协商一致签字盖章后生效。</w:t>
      </w:r>
    </w:p>
    <w:p>
      <w:pPr>
        <w:spacing w:line="520" w:lineRule="exact"/>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十一、其它约定事项</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1.本合同涉及的询价公告、乙方的报价单和附件均为本合同不可分割的组成部分，具有相同的法律效力，甲乙双方各执一份，并送赤峰学院党政办一份备案。</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2.一方当事人未经另一方书面同意，不得将其在合同下的权利和义务全部或部分转让给第三人。</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甲方：赤峰学院（盖章） </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法定代表人：（签字）       </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项目单位负责人：（签字）        </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联系电话：                    单位地址：</w:t>
      </w:r>
    </w:p>
    <w:p>
      <w:pPr>
        <w:ind w:firstLine="5955" w:firstLineChars="2127"/>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年     月     日</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乙方： XXXXXXXXXX（盖章）         </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法定代表人：（签字）          开户银行：   </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委托代理人：（签字）          开户账号：</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联系电话：                     单位地址：</w:t>
      </w:r>
    </w:p>
    <w:p>
      <w:pPr>
        <w:spacing w:line="520" w:lineRule="exact"/>
        <w:jc w:val="righ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                                          年     月     日   </w:t>
      </w:r>
    </w:p>
    <w:p>
      <w:pPr>
        <w:ind w:firstLine="2240" w:firstLineChars="8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 </w:t>
      </w:r>
    </w:p>
    <w:p>
      <w:pPr>
        <w:jc w:val="center"/>
        <w:rPr>
          <w:rFonts w:hint="eastAsia" w:ascii="微软雅黑" w:hAnsi="微软雅黑" w:eastAsia="微软雅黑" w:cs="微软雅黑"/>
          <w:color w:val="666666"/>
          <w:kern w:val="0"/>
          <w:sz w:val="32"/>
          <w:szCs w:val="32"/>
          <w:lang w:val="en-US" w:eastAsia="zh-CN" w:bidi="ar"/>
        </w:rPr>
      </w:pPr>
      <w:r>
        <w:rPr>
          <w:rFonts w:hint="eastAsia" w:ascii="微软雅黑" w:hAnsi="微软雅黑" w:eastAsia="微软雅黑" w:cs="微软雅黑"/>
          <w:color w:val="666666"/>
          <w:kern w:val="0"/>
          <w:sz w:val="32"/>
          <w:szCs w:val="32"/>
          <w:lang w:val="en-US" w:eastAsia="zh-CN" w:bidi="ar"/>
        </w:rPr>
        <w:t>附  件</w:t>
      </w:r>
    </w:p>
    <w:p>
      <w:pP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一、</w:t>
      </w:r>
    </w:p>
    <w:p>
      <w:pPr>
        <w:keepNext w:val="0"/>
        <w:keepLines w:val="0"/>
        <w:pageBreakBefore w:val="0"/>
        <w:widowControl w:val="0"/>
        <w:kinsoku/>
        <w:wordWrap/>
        <w:overflowPunct/>
        <w:topLinePunct w:val="0"/>
        <w:autoSpaceDE/>
        <w:autoSpaceDN/>
        <w:bidi w:val="0"/>
        <w:adjustRightInd/>
        <w:snapToGrid/>
        <w:spacing w:line="400" w:lineRule="atLeast"/>
        <w:jc w:val="center"/>
        <w:textAlignment w:val="auto"/>
        <w:rPr>
          <w:rFonts w:hint="eastAsia" w:ascii="微软雅黑" w:hAnsi="微软雅黑" w:eastAsia="微软雅黑" w:cs="微软雅黑"/>
          <w:color w:val="666666"/>
          <w:kern w:val="0"/>
          <w:sz w:val="32"/>
          <w:szCs w:val="32"/>
          <w:lang w:val="en-US" w:eastAsia="zh-CN" w:bidi="ar"/>
        </w:rPr>
      </w:pPr>
      <w:r>
        <w:rPr>
          <w:rFonts w:hint="eastAsia" w:ascii="微软雅黑" w:hAnsi="微软雅黑" w:eastAsia="微软雅黑" w:cs="微软雅黑"/>
          <w:color w:val="666666"/>
          <w:kern w:val="0"/>
          <w:sz w:val="32"/>
          <w:szCs w:val="32"/>
          <w:lang w:val="en-US" w:eastAsia="zh-CN" w:bidi="ar"/>
        </w:rPr>
        <w:t>授权委托书</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赤峰学院：</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 xml:space="preserve">    兹授权我单位      （姓名）作为参加贵单位XXXX（项目单位名称）组织的×××××（项目名称）询价采购活动（项目编号：XXX）的委托代理人，委托代理人全权代表我单位处理本次询价中的有关事务，并签署全部有关文件、协议及合同，我单位对委托代理人签署内容负全部责任。</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微软雅黑" w:hAnsi="微软雅黑" w:eastAsia="微软雅黑" w:cs="微软雅黑"/>
          <w:color w:val="666666"/>
          <w:kern w:val="0"/>
          <w:sz w:val="28"/>
          <w:szCs w:val="28"/>
          <w:lang w:val="en-US" w:eastAsia="zh-CN" w:bidi="ar"/>
        </w:rPr>
      </w:pPr>
      <w:r>
        <w:rPr>
          <w:rFonts w:ascii="微软雅黑" w:hAnsi="微软雅黑" w:eastAsia="微软雅黑" w:cs="微软雅黑"/>
          <w:color w:val="666666"/>
          <w:kern w:val="0"/>
          <w:sz w:val="28"/>
          <w:szCs w:val="28"/>
          <w:lang w:val="en-US" w:eastAsia="zh-CN" w:bidi="ar"/>
        </w:rPr>
        <w:fldChar w:fldCharType="begin"/>
      </w:r>
      <w:r>
        <w:instrText xml:space="preserve"> INCLUDEPICTURE "D:\\其他\\WeChat Files\\wxid_f9p1zg0y8d9422\\FileStorage\\File\\" \* MERGEFORMAT </w:instrText>
      </w:r>
      <w:r>
        <w:rPr>
          <w:rFonts w:ascii="微软雅黑" w:hAnsi="微软雅黑" w:eastAsia="微软雅黑" w:cs="微软雅黑"/>
          <w:color w:val="666666"/>
          <w:kern w:val="0"/>
          <w:sz w:val="28"/>
          <w:szCs w:val="28"/>
          <w:lang w:val="en-US" w:eastAsia="zh-CN" w:bidi="ar"/>
        </w:rPr>
        <w:fldChar w:fldCharType="separate"/>
      </w:r>
      <w:r>
        <w:rPr>
          <w:rFonts w:ascii="微软雅黑" w:hAnsi="微软雅黑" w:eastAsia="微软雅黑" w:cs="微软雅黑"/>
          <w:color w:val="666666"/>
          <w:kern w:val="0"/>
          <w:sz w:val="28"/>
          <w:szCs w:val="28"/>
          <w:lang w:val="en-US" w:eastAsia="zh-CN" w:bidi="ar"/>
        </w:rPr>
        <w:drawing>
          <wp:inline distT="0" distB="0" distL="114300" distR="114300">
            <wp:extent cx="2637790" cy="1914525"/>
            <wp:effectExtent l="0" t="0" r="10160" b="9525"/>
            <wp:docPr id="1" name="图片 1"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ps1"/>
                    <pic:cNvPicPr>
                      <a:picLocks noChangeAspect="1"/>
                    </pic:cNvPicPr>
                  </pic:nvPicPr>
                  <pic:blipFill>
                    <a:blip r:embed="rId4"/>
                    <a:stretch>
                      <a:fillRect/>
                    </a:stretch>
                  </pic:blipFill>
                  <pic:spPr>
                    <a:xfrm>
                      <a:off x="0" y="0"/>
                      <a:ext cx="2637790" cy="1914525"/>
                    </a:xfrm>
                    <a:prstGeom prst="rect">
                      <a:avLst/>
                    </a:prstGeom>
                    <a:noFill/>
                    <a:ln>
                      <a:noFill/>
                    </a:ln>
                  </pic:spPr>
                </pic:pic>
              </a:graphicData>
            </a:graphic>
          </wp:inline>
        </w:drawing>
      </w:r>
      <w:r>
        <w:rPr>
          <w:rFonts w:ascii="微软雅黑" w:hAnsi="微软雅黑" w:eastAsia="微软雅黑" w:cs="微软雅黑"/>
          <w:color w:val="666666"/>
          <w:kern w:val="0"/>
          <w:sz w:val="28"/>
          <w:szCs w:val="28"/>
          <w:lang w:val="en-US" w:eastAsia="zh-CN" w:bidi="ar"/>
        </w:rPr>
        <w:fldChar w:fldCharType="end"/>
      </w:r>
      <w:r>
        <w:rPr>
          <w:rFonts w:ascii="微软雅黑" w:hAnsi="微软雅黑" w:eastAsia="微软雅黑" w:cs="微软雅黑"/>
          <w:color w:val="666666"/>
          <w:kern w:val="0"/>
          <w:sz w:val="28"/>
          <w:szCs w:val="28"/>
          <w:lang w:val="en-US" w:eastAsia="zh-CN" w:bidi="ar"/>
        </w:rPr>
        <w:fldChar w:fldCharType="begin"/>
      </w:r>
      <w:r>
        <w:instrText xml:space="preserve"> INCLUDEPICTURE "D:\\其他\\WeChat Files\\wxid_f9p1zg0y8d9422\\FileStorage\\File\\" \* MERGEFORMAT </w:instrText>
      </w:r>
      <w:r>
        <w:rPr>
          <w:rFonts w:ascii="微软雅黑" w:hAnsi="微软雅黑" w:eastAsia="微软雅黑" w:cs="微软雅黑"/>
          <w:color w:val="666666"/>
          <w:kern w:val="0"/>
          <w:sz w:val="28"/>
          <w:szCs w:val="28"/>
          <w:lang w:val="en-US" w:eastAsia="zh-CN" w:bidi="ar"/>
        </w:rPr>
        <w:fldChar w:fldCharType="separate"/>
      </w:r>
      <w:r>
        <w:rPr>
          <w:rFonts w:ascii="微软雅黑" w:hAnsi="微软雅黑" w:eastAsia="微软雅黑" w:cs="微软雅黑"/>
          <w:color w:val="666666"/>
          <w:kern w:val="0"/>
          <w:sz w:val="28"/>
          <w:szCs w:val="28"/>
          <w:lang w:val="en-US" w:eastAsia="zh-CN" w:bidi="ar"/>
        </w:rPr>
        <w:drawing>
          <wp:inline distT="0" distB="0" distL="114300" distR="114300">
            <wp:extent cx="2524125" cy="1914525"/>
            <wp:effectExtent l="0" t="0" r="9525" b="9525"/>
            <wp:docPr id="2" name="图片 2" descr="wp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2"/>
                    <pic:cNvPicPr>
                      <a:picLocks noChangeAspect="1"/>
                    </pic:cNvPicPr>
                  </pic:nvPicPr>
                  <pic:blipFill>
                    <a:blip r:embed="rId5"/>
                    <a:stretch>
                      <a:fillRect/>
                    </a:stretch>
                  </pic:blipFill>
                  <pic:spPr>
                    <a:xfrm>
                      <a:off x="0" y="0"/>
                      <a:ext cx="2524125" cy="1914525"/>
                    </a:xfrm>
                    <a:prstGeom prst="rect">
                      <a:avLst/>
                    </a:prstGeom>
                    <a:noFill/>
                    <a:ln>
                      <a:noFill/>
                    </a:ln>
                  </pic:spPr>
                </pic:pic>
              </a:graphicData>
            </a:graphic>
          </wp:inline>
        </w:drawing>
      </w:r>
      <w:r>
        <w:rPr>
          <w:rFonts w:ascii="微软雅黑" w:hAnsi="微软雅黑" w:eastAsia="微软雅黑" w:cs="微软雅黑"/>
          <w:color w:val="666666"/>
          <w:kern w:val="0"/>
          <w:sz w:val="28"/>
          <w:szCs w:val="28"/>
          <w:lang w:val="en-US" w:eastAsia="zh-CN" w:bidi="ar"/>
        </w:rPr>
        <w:fldChar w:fldCharType="end"/>
      </w:r>
      <w:r>
        <w:rPr>
          <w:rFonts w:hint="eastAsia" w:ascii="微软雅黑" w:hAnsi="微软雅黑" w:eastAsia="微软雅黑" w:cs="微软雅黑"/>
          <w:color w:val="666666"/>
          <w:kern w:val="0"/>
          <w:sz w:val="28"/>
          <w:szCs w:val="28"/>
          <w:lang w:val="en-US" w:eastAsia="zh-CN" w:bidi="ar"/>
        </w:rPr>
        <w:t xml:space="preserve">    本授权书于盖章签字后生效，在贵单位收到撤消授权的书面通知以前，本授权书一直有效。被授权人签署的所有文件不因授权的撤消而失效。委托代理人无转委托权。</w:t>
      </w:r>
    </w:p>
    <w:p>
      <w:pP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 xml:space="preserve">    特此委托。</w:t>
      </w:r>
    </w:p>
    <w:p>
      <w:pP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供应商：  XXXXXXXXXXXX （加盖公章）</w:t>
      </w:r>
    </w:p>
    <w:p>
      <w:pP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法定代表人：（签字）              委托代理人：（签字）</w:t>
      </w:r>
    </w:p>
    <w:p>
      <w:pPr>
        <w:spacing w:line="480" w:lineRule="exact"/>
        <w:jc w:val="left"/>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 xml:space="preserve">                              </w:t>
      </w:r>
    </w:p>
    <w:p>
      <w:pPr>
        <w:jc w:val="right"/>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 xml:space="preserve">  年   月   日</w:t>
      </w:r>
    </w:p>
    <w:p>
      <w:pP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二、询价报价表</w:t>
      </w:r>
    </w:p>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赤峰学院××××（项目单位名称+项目名称）询价报价表</w:t>
      </w:r>
    </w:p>
    <w:p>
      <w:pP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 xml:space="preserve"> </w:t>
      </w:r>
      <w:r>
        <w:rPr>
          <w:rFonts w:hint="eastAsia"/>
          <w:color w:val="666666"/>
          <w:sz w:val="30"/>
          <w:szCs w:val="30"/>
          <w:lang w:val="en-US" w:eastAsia="zh-CN"/>
        </w:rPr>
        <w:t>项目编号：项目单位名称（首字母）+年度+序号（如：001,002,003</w:t>
      </w:r>
      <w:r>
        <w:rPr>
          <w:rFonts w:hint="default" w:ascii="Arial" w:hAnsi="Arial" w:cs="Arial"/>
          <w:color w:val="666666"/>
          <w:sz w:val="30"/>
          <w:szCs w:val="30"/>
          <w:lang w:val="en-US" w:eastAsia="zh-CN"/>
        </w:rPr>
        <w:t>…</w:t>
      </w:r>
      <w:r>
        <w:rPr>
          <w:rFonts w:hint="eastAsia"/>
          <w:color w:val="666666"/>
          <w:sz w:val="30"/>
          <w:szCs w:val="30"/>
          <w:lang w:val="en-US" w:eastAsia="zh-CN"/>
        </w:rPr>
        <w:t>）</w:t>
      </w:r>
    </w:p>
    <w:tbl>
      <w:tblPr>
        <w:tblStyle w:val="4"/>
        <w:tblW w:w="4994" w:type="pct"/>
        <w:jc w:val="center"/>
        <w:tblLayout w:type="autofit"/>
        <w:tblCellMar>
          <w:top w:w="0" w:type="dxa"/>
          <w:left w:w="0" w:type="dxa"/>
          <w:bottom w:w="0" w:type="dxa"/>
          <w:right w:w="0" w:type="dxa"/>
        </w:tblCellMar>
      </w:tblPr>
      <w:tblGrid>
        <w:gridCol w:w="506"/>
        <w:gridCol w:w="1270"/>
        <w:gridCol w:w="868"/>
        <w:gridCol w:w="261"/>
        <w:gridCol w:w="1129"/>
        <w:gridCol w:w="894"/>
        <w:gridCol w:w="894"/>
        <w:gridCol w:w="894"/>
        <w:gridCol w:w="894"/>
        <w:gridCol w:w="902"/>
      </w:tblGrid>
      <w:tr>
        <w:tblPrEx>
          <w:tblCellMar>
            <w:top w:w="0" w:type="dxa"/>
            <w:left w:w="0" w:type="dxa"/>
            <w:bottom w:w="0" w:type="dxa"/>
            <w:right w:w="0" w:type="dxa"/>
          </w:tblCellMar>
        </w:tblPrEx>
        <w:trPr>
          <w:trHeight w:val="971" w:hRule="atLeast"/>
          <w:jc w:val="center"/>
        </w:trPr>
        <w:tc>
          <w:tcPr>
            <w:tcW w:w="297"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top"/>
          </w:tcPr>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序号</w:t>
            </w:r>
          </w:p>
        </w:tc>
        <w:tc>
          <w:tcPr>
            <w:tcW w:w="746"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top"/>
          </w:tcPr>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名  称</w:t>
            </w:r>
          </w:p>
        </w:tc>
        <w:tc>
          <w:tcPr>
            <w:tcW w:w="663" w:type="pct"/>
            <w:gridSpan w:val="2"/>
            <w:tcBorders>
              <w:top w:val="single" w:color="auto" w:sz="8" w:space="0"/>
              <w:left w:val="single" w:color="auto" w:sz="8" w:space="0"/>
              <w:bottom w:val="single" w:color="auto" w:sz="8" w:space="0"/>
              <w:right w:val="single" w:color="auto" w:sz="4" w:space="0"/>
            </w:tcBorders>
            <w:noWrap w:val="0"/>
            <w:tcMar>
              <w:left w:w="108" w:type="dxa"/>
              <w:right w:w="108" w:type="dxa"/>
            </w:tcMar>
            <w:vAlign w:val="top"/>
          </w:tcPr>
          <w:p>
            <w:pPr>
              <w:jc w:val="cente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品牌</w:t>
            </w:r>
          </w:p>
          <w:p>
            <w:pPr>
              <w:jc w:val="cente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型号</w:t>
            </w:r>
          </w:p>
        </w:tc>
        <w:tc>
          <w:tcPr>
            <w:tcW w:w="663" w:type="pct"/>
            <w:tcBorders>
              <w:top w:val="single" w:color="auto" w:sz="8" w:space="0"/>
              <w:left w:val="single" w:color="auto" w:sz="8" w:space="0"/>
              <w:bottom w:val="single" w:color="auto" w:sz="8" w:space="0"/>
              <w:right w:val="single" w:color="auto" w:sz="4" w:space="0"/>
            </w:tcBorders>
            <w:noWrap w:val="0"/>
            <w:tcMar>
              <w:left w:w="108" w:type="dxa"/>
              <w:right w:w="108" w:type="dxa"/>
            </w:tcMar>
            <w:vAlign w:val="top"/>
          </w:tcPr>
          <w:p>
            <w:pPr>
              <w:jc w:val="cente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技术</w:t>
            </w:r>
          </w:p>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参数</w:t>
            </w: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数 量</w:t>
            </w: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单 位</w:t>
            </w:r>
          </w:p>
        </w:tc>
        <w:tc>
          <w:tcPr>
            <w:tcW w:w="525" w:type="pct"/>
            <w:tcBorders>
              <w:top w:val="single" w:color="auto" w:sz="8" w:space="0"/>
              <w:left w:val="single" w:color="auto" w:sz="8" w:space="0"/>
              <w:bottom w:val="single" w:color="auto" w:sz="8" w:space="0"/>
              <w:right w:val="single" w:color="auto" w:sz="8" w:space="0"/>
            </w:tcBorders>
            <w:noWrap w:val="0"/>
            <w:vAlign w:val="top"/>
          </w:tcPr>
          <w:p>
            <w:pPr>
              <w:jc w:val="both"/>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单价（元）</w:t>
            </w: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金 额（元）</w:t>
            </w:r>
          </w:p>
        </w:tc>
        <w:tc>
          <w:tcPr>
            <w:tcW w:w="529"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top"/>
          </w:tcPr>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备注</w:t>
            </w:r>
          </w:p>
        </w:tc>
      </w:tr>
      <w:tr>
        <w:tblPrEx>
          <w:tblCellMar>
            <w:top w:w="0" w:type="dxa"/>
            <w:left w:w="0" w:type="dxa"/>
            <w:bottom w:w="0" w:type="dxa"/>
            <w:right w:w="0" w:type="dxa"/>
          </w:tblCellMar>
        </w:tblPrEx>
        <w:trPr>
          <w:trHeight w:val="612" w:hRule="atLeast"/>
          <w:jc w:val="center"/>
        </w:trPr>
        <w:tc>
          <w:tcPr>
            <w:tcW w:w="297"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r>
              <w:rPr>
                <w:rFonts w:ascii="微软雅黑" w:hAnsi="微软雅黑" w:eastAsia="微软雅黑" w:cs="微软雅黑"/>
                <w:color w:val="666666"/>
                <w:kern w:val="0"/>
                <w:sz w:val="28"/>
                <w:szCs w:val="28"/>
                <w:lang w:val="en-US" w:eastAsia="zh-CN" w:bidi="ar"/>
              </w:rPr>
              <w:t>1</w:t>
            </w:r>
          </w:p>
        </w:tc>
        <w:tc>
          <w:tcPr>
            <w:tcW w:w="746"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p>
            <w:pPr>
              <w:jc w:val="center"/>
              <w:rPr>
                <w:rFonts w:ascii="微软雅黑" w:hAnsi="微软雅黑" w:eastAsia="微软雅黑" w:cs="微软雅黑"/>
                <w:color w:val="666666"/>
                <w:kern w:val="0"/>
                <w:sz w:val="28"/>
                <w:szCs w:val="28"/>
                <w:lang w:val="en-US" w:eastAsia="zh-CN" w:bidi="ar"/>
              </w:rPr>
            </w:pPr>
          </w:p>
        </w:tc>
        <w:tc>
          <w:tcPr>
            <w:tcW w:w="663" w:type="pct"/>
            <w:gridSpan w:val="2"/>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c>
          <w:tcPr>
            <w:tcW w:w="663" w:type="pct"/>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29"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r>
      <w:tr>
        <w:tblPrEx>
          <w:tblCellMar>
            <w:top w:w="0" w:type="dxa"/>
            <w:left w:w="0" w:type="dxa"/>
            <w:bottom w:w="0" w:type="dxa"/>
            <w:right w:w="0" w:type="dxa"/>
          </w:tblCellMar>
        </w:tblPrEx>
        <w:trPr>
          <w:trHeight w:val="712" w:hRule="atLeast"/>
          <w:jc w:val="center"/>
        </w:trPr>
        <w:tc>
          <w:tcPr>
            <w:tcW w:w="297"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r>
              <w:rPr>
                <w:rFonts w:ascii="微软雅黑" w:hAnsi="微软雅黑" w:eastAsia="微软雅黑" w:cs="微软雅黑"/>
                <w:color w:val="666666"/>
                <w:kern w:val="0"/>
                <w:sz w:val="28"/>
                <w:szCs w:val="28"/>
                <w:lang w:val="en-US" w:eastAsia="zh-CN" w:bidi="ar"/>
              </w:rPr>
              <w:t>2</w:t>
            </w:r>
          </w:p>
        </w:tc>
        <w:tc>
          <w:tcPr>
            <w:tcW w:w="746"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p>
            <w:pPr>
              <w:jc w:val="center"/>
              <w:rPr>
                <w:rFonts w:ascii="微软雅黑" w:hAnsi="微软雅黑" w:eastAsia="微软雅黑" w:cs="微软雅黑"/>
                <w:color w:val="666666"/>
                <w:kern w:val="0"/>
                <w:sz w:val="28"/>
                <w:szCs w:val="28"/>
                <w:lang w:val="en-US" w:eastAsia="zh-CN" w:bidi="ar"/>
              </w:rPr>
            </w:pPr>
          </w:p>
        </w:tc>
        <w:tc>
          <w:tcPr>
            <w:tcW w:w="663" w:type="pct"/>
            <w:gridSpan w:val="2"/>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c>
          <w:tcPr>
            <w:tcW w:w="663" w:type="pct"/>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29"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r>
      <w:tr>
        <w:tblPrEx>
          <w:tblCellMar>
            <w:top w:w="0" w:type="dxa"/>
            <w:left w:w="0" w:type="dxa"/>
            <w:bottom w:w="0" w:type="dxa"/>
            <w:right w:w="0" w:type="dxa"/>
          </w:tblCellMar>
        </w:tblPrEx>
        <w:trPr>
          <w:trHeight w:val="695" w:hRule="atLeast"/>
          <w:jc w:val="center"/>
        </w:trPr>
        <w:tc>
          <w:tcPr>
            <w:tcW w:w="297"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r>
              <w:rPr>
                <w:rFonts w:ascii="微软雅黑" w:hAnsi="微软雅黑" w:eastAsia="微软雅黑" w:cs="微软雅黑"/>
                <w:color w:val="666666"/>
                <w:kern w:val="0"/>
                <w:sz w:val="28"/>
                <w:szCs w:val="28"/>
                <w:lang w:val="en-US" w:eastAsia="zh-CN" w:bidi="ar"/>
              </w:rPr>
              <w:t>3</w:t>
            </w:r>
          </w:p>
        </w:tc>
        <w:tc>
          <w:tcPr>
            <w:tcW w:w="746"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p>
            <w:pPr>
              <w:jc w:val="center"/>
              <w:rPr>
                <w:rFonts w:ascii="微软雅黑" w:hAnsi="微软雅黑" w:eastAsia="微软雅黑" w:cs="微软雅黑"/>
                <w:color w:val="666666"/>
                <w:kern w:val="0"/>
                <w:sz w:val="28"/>
                <w:szCs w:val="28"/>
                <w:lang w:val="en-US" w:eastAsia="zh-CN" w:bidi="ar"/>
              </w:rPr>
            </w:pPr>
          </w:p>
        </w:tc>
        <w:tc>
          <w:tcPr>
            <w:tcW w:w="663" w:type="pct"/>
            <w:gridSpan w:val="2"/>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c>
          <w:tcPr>
            <w:tcW w:w="663" w:type="pct"/>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25"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29"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r>
      <w:tr>
        <w:tblPrEx>
          <w:tblCellMar>
            <w:top w:w="0" w:type="dxa"/>
            <w:left w:w="0" w:type="dxa"/>
            <w:bottom w:w="0" w:type="dxa"/>
            <w:right w:w="0" w:type="dxa"/>
          </w:tblCellMar>
        </w:tblPrEx>
        <w:trPr>
          <w:trHeight w:val="719" w:hRule="atLeast"/>
          <w:jc w:val="center"/>
        </w:trPr>
        <w:tc>
          <w:tcPr>
            <w:tcW w:w="1553" w:type="pct"/>
            <w:gridSpan w:val="3"/>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报价总金额</w:t>
            </w:r>
          </w:p>
        </w:tc>
        <w:tc>
          <w:tcPr>
            <w:tcW w:w="3446" w:type="pct"/>
            <w:gridSpan w:val="7"/>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left"/>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人民币大写：</w:t>
            </w:r>
            <w:r>
              <w:rPr>
                <w:rFonts w:ascii="微软雅黑" w:hAnsi="微软雅黑" w:eastAsia="微软雅黑" w:cs="微软雅黑"/>
                <w:color w:val="666666"/>
                <w:kern w:val="0"/>
                <w:sz w:val="28"/>
                <w:szCs w:val="28"/>
                <w:lang w:val="en-US" w:eastAsia="zh-CN" w:bidi="ar"/>
              </w:rPr>
              <w:t xml:space="preserve">                 </w:t>
            </w:r>
          </w:p>
          <w:p>
            <w:pP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小写：</w:t>
            </w:r>
          </w:p>
        </w:tc>
      </w:tr>
    </w:tbl>
    <w:p>
      <w:pP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注：报价不得超出项目预算。报价超出预算为无效投标。</w:t>
      </w:r>
    </w:p>
    <w:p>
      <w:pP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供应商单位名称： XXXXXXXXXXXX（加盖公章）</w:t>
      </w:r>
    </w:p>
    <w:p>
      <w:pP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法定代表人或委托代理人签字：</w:t>
      </w:r>
    </w:p>
    <w:p>
      <w:pP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法定代表人或委托代理人联系电话：</w:t>
      </w:r>
    </w:p>
    <w:p>
      <w:pPr>
        <w:rPr>
          <w:rFonts w:ascii="微软雅黑" w:hAnsi="微软雅黑" w:eastAsia="微软雅黑" w:cs="微软雅黑"/>
          <w:color w:val="666666"/>
          <w:kern w:val="0"/>
          <w:sz w:val="28"/>
          <w:szCs w:val="28"/>
          <w:lang w:val="en-US" w:eastAsia="zh-CN" w:bidi="ar"/>
        </w:rPr>
      </w:pPr>
      <w:r>
        <w:rPr>
          <w:rFonts w:ascii="微软雅黑" w:hAnsi="微软雅黑" w:eastAsia="微软雅黑" w:cs="微软雅黑"/>
          <w:color w:val="666666"/>
          <w:kern w:val="0"/>
          <w:sz w:val="28"/>
          <w:szCs w:val="28"/>
          <w:lang w:val="en-US" w:eastAsia="zh-CN" w:bidi="ar"/>
        </w:rPr>
        <w:t xml:space="preserve">    </w:t>
      </w:r>
      <w:r>
        <w:rPr>
          <w:rFonts w:hint="eastAsia" w:ascii="微软雅黑" w:hAnsi="微软雅黑" w:eastAsia="微软雅黑" w:cs="微软雅黑"/>
          <w:color w:val="666666"/>
          <w:kern w:val="0"/>
          <w:sz w:val="28"/>
          <w:szCs w:val="28"/>
          <w:lang w:val="en-US" w:eastAsia="zh-CN" w:bidi="ar"/>
        </w:rPr>
        <w:t>注：①表内各栏按要求逐一填写、计算，表内各栏内容与实际内容不符的，可自行加行、加列。</w:t>
      </w:r>
    </w:p>
    <w:p>
      <w:pPr>
        <w:ind w:firstLine="980" w:firstLineChars="350"/>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②在不影响整体框架下，投标人可根据需要自行调整格式。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altName w:val="黑体"/>
    <w:panose1 w:val="020B0503020204020204"/>
    <w:charset w:val="86"/>
    <w:family w:val="auto"/>
    <w:pitch w:val="default"/>
    <w:sig w:usb0="00000000" w:usb1="0000000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F327DC"/>
    <w:multiLevelType w:val="singleLevel"/>
    <w:tmpl w:val="B3F327DC"/>
    <w:lvl w:ilvl="0" w:tentative="0">
      <w:start w:val="1"/>
      <w:numFmt w:val="decimal"/>
      <w:suff w:val="nothing"/>
      <w:lvlText w:val="%1、"/>
      <w:lvlJc w:val="left"/>
    </w:lvl>
  </w:abstractNum>
  <w:abstractNum w:abstractNumId="1">
    <w:nsid w:val="60D4AB01"/>
    <w:multiLevelType w:val="singleLevel"/>
    <w:tmpl w:val="60D4AB01"/>
    <w:lvl w:ilvl="0" w:tentative="0">
      <w:start w:val="5"/>
      <w:numFmt w:val="decimal"/>
      <w:suff w:val="space"/>
      <w:lvlText w:val="%1."/>
      <w:lvlJc w:val="left"/>
    </w:lvl>
  </w:abstractNum>
  <w:num w:numId="1">
    <w:abstractNumId w:val="0"/>
  </w:num>
  <w:num w:numId="2">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